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A35" w:rsidRPr="00164BD1" w:rsidRDefault="00C27978" w:rsidP="00CD72EE">
      <w:pPr>
        <w:pStyle w:val="Title"/>
        <w:spacing w:before="480" w:after="120"/>
        <w:rPr>
          <w:rFonts w:asciiTheme="minorHAnsi" w:hAnsiTheme="minorHAnsi"/>
          <w:b/>
          <w:color w:val="auto"/>
          <w:sz w:val="52"/>
          <w:szCs w:val="52"/>
          <w:lang w:bidi="en-US"/>
        </w:rPr>
      </w:pPr>
      <w:r w:rsidRPr="006B7A35">
        <w:rPr>
          <w:rFonts w:asciiTheme="minorHAnsi" w:hAnsiTheme="minorHAnsi"/>
          <w:b/>
          <w:color w:val="auto"/>
          <w:sz w:val="52"/>
          <w:szCs w:val="52"/>
          <w:lang w:bidi="en-US"/>
        </w:rPr>
        <w:t xml:space="preserve">Why the Census Matters </w:t>
      </w:r>
      <w:r w:rsidR="00276094" w:rsidRPr="006B7A35">
        <w:rPr>
          <w:rFonts w:asciiTheme="minorHAnsi" w:hAnsiTheme="minorHAnsi"/>
          <w:b/>
          <w:color w:val="auto"/>
          <w:sz w:val="52"/>
          <w:szCs w:val="52"/>
          <w:lang w:bidi="en-US"/>
        </w:rPr>
        <w:t>for</w:t>
      </w:r>
      <w:r w:rsidRPr="006B7A35">
        <w:rPr>
          <w:rFonts w:asciiTheme="minorHAnsi" w:hAnsiTheme="minorHAnsi"/>
          <w:b/>
          <w:color w:val="auto"/>
          <w:sz w:val="52"/>
          <w:szCs w:val="52"/>
          <w:lang w:bidi="en-US"/>
        </w:rPr>
        <w:t xml:space="preserve"> People with Disabilities: A Guide to the 2020 Census Operations &amp; Challenges</w:t>
      </w:r>
    </w:p>
    <w:p w:rsidR="006B7A35" w:rsidRPr="006B7A35" w:rsidRDefault="00C27978" w:rsidP="008808C8">
      <w:pPr>
        <w:pStyle w:val="Subtitle"/>
      </w:pPr>
      <w:r w:rsidRPr="006B7A35">
        <w:t>By Jae June Lee, Erika Hudson, &amp; Cara Brumfield</w:t>
      </w:r>
    </w:p>
    <w:p w:rsidR="006B7A35" w:rsidRPr="00CD72EE" w:rsidRDefault="006B7A35" w:rsidP="006B7A35">
      <w:pPr>
        <w:spacing w:after="0"/>
        <w:rPr>
          <w:sz w:val="36"/>
          <w:szCs w:val="40"/>
          <w:lang w:bidi="en-US"/>
        </w:rPr>
      </w:pPr>
    </w:p>
    <w:p w:rsidR="00C27978" w:rsidRPr="006B7A35" w:rsidRDefault="006B7A35" w:rsidP="00164BD1">
      <w:pPr>
        <w:pStyle w:val="Heading1"/>
      </w:pPr>
      <w:r w:rsidRPr="006B7A35">
        <w:t>KEY TAKEAWAYS</w:t>
      </w:r>
    </w:p>
    <w:p w:rsidR="00C27978" w:rsidRPr="00164BD1" w:rsidRDefault="00C27978" w:rsidP="00220813">
      <w:pPr>
        <w:pStyle w:val="ListParagraph"/>
        <w:numPr>
          <w:ilvl w:val="0"/>
          <w:numId w:val="4"/>
        </w:numPr>
        <w:spacing w:after="0" w:line="240" w:lineRule="auto"/>
        <w:rPr>
          <w:rFonts w:cs="Arial"/>
          <w:bCs/>
          <w:sz w:val="36"/>
          <w:szCs w:val="40"/>
          <w:lang w:bidi="en-US"/>
        </w:rPr>
      </w:pPr>
      <w:r w:rsidRPr="00164BD1">
        <w:rPr>
          <w:rFonts w:cs="Arial"/>
          <w:bCs/>
          <w:sz w:val="36"/>
          <w:szCs w:val="40"/>
          <w:lang w:bidi="en-US"/>
        </w:rPr>
        <w:t>The decennial census is the constitutionally mandated count of all residents of the United States.</w:t>
      </w:r>
    </w:p>
    <w:p w:rsidR="00C27978" w:rsidRPr="00164BD1" w:rsidRDefault="00C27978" w:rsidP="00220813">
      <w:pPr>
        <w:pStyle w:val="ListParagraph"/>
        <w:numPr>
          <w:ilvl w:val="0"/>
          <w:numId w:val="4"/>
        </w:numPr>
        <w:spacing w:after="0" w:line="240" w:lineRule="auto"/>
        <w:rPr>
          <w:rFonts w:cs="Arial"/>
          <w:bCs/>
          <w:sz w:val="36"/>
          <w:szCs w:val="40"/>
          <w:lang w:bidi="en-US"/>
        </w:rPr>
      </w:pPr>
      <w:r w:rsidRPr="00164BD1">
        <w:rPr>
          <w:rFonts w:cs="Arial"/>
          <w:bCs/>
          <w:sz w:val="36"/>
          <w:szCs w:val="40"/>
          <w:lang w:bidi="en-US"/>
        </w:rPr>
        <w:t>Census data help direct more than $800 billion a year in federal funding, including for key programs that support and protect the rights of people with disabilities.</w:t>
      </w:r>
    </w:p>
    <w:p w:rsidR="00C27978" w:rsidRPr="00164BD1" w:rsidRDefault="00C27978" w:rsidP="00220813">
      <w:pPr>
        <w:pStyle w:val="ListParagraph"/>
        <w:numPr>
          <w:ilvl w:val="0"/>
          <w:numId w:val="4"/>
        </w:numPr>
        <w:spacing w:after="0" w:line="240" w:lineRule="auto"/>
        <w:rPr>
          <w:rFonts w:cs="Arial"/>
          <w:bCs/>
          <w:sz w:val="36"/>
          <w:szCs w:val="40"/>
          <w:lang w:bidi="en-US"/>
        </w:rPr>
      </w:pPr>
      <w:r w:rsidRPr="00164BD1">
        <w:rPr>
          <w:rFonts w:cs="Arial"/>
          <w:bCs/>
          <w:sz w:val="36"/>
          <w:szCs w:val="40"/>
          <w:lang w:bidi="en-US"/>
        </w:rPr>
        <w:t>The Census Bureau considers people with disabilities hard to count. However, the bureau has taken steps to make participation more accessible.</w:t>
      </w:r>
    </w:p>
    <w:p w:rsidR="00C27978" w:rsidRPr="00164BD1" w:rsidRDefault="00C27978" w:rsidP="00220813">
      <w:pPr>
        <w:pStyle w:val="ListParagraph"/>
        <w:numPr>
          <w:ilvl w:val="0"/>
          <w:numId w:val="4"/>
        </w:numPr>
        <w:spacing w:after="0" w:line="240" w:lineRule="auto"/>
        <w:rPr>
          <w:rFonts w:cs="Arial"/>
          <w:bCs/>
          <w:sz w:val="36"/>
          <w:szCs w:val="40"/>
          <w:lang w:bidi="en-US"/>
        </w:rPr>
      </w:pPr>
      <w:r w:rsidRPr="00164BD1">
        <w:rPr>
          <w:rFonts w:cs="Arial"/>
          <w:bCs/>
          <w:sz w:val="36"/>
          <w:szCs w:val="40"/>
          <w:lang w:bidi="en-US"/>
        </w:rPr>
        <w:t>Stakeholders can help ensure a fair and accurate count of people with disabilities. Community organizations can, for example, play a vital role as trusted partners in conducting effective outreach.</w:t>
      </w:r>
    </w:p>
    <w:p w:rsidR="006B7A35" w:rsidRPr="006C527B" w:rsidRDefault="006B7A35" w:rsidP="006C527B">
      <w:pPr>
        <w:rPr>
          <w:sz w:val="36"/>
          <w:szCs w:val="36"/>
        </w:rPr>
      </w:pPr>
    </w:p>
    <w:p w:rsidR="00525B54" w:rsidRPr="006B7A35" w:rsidRDefault="00DF5AF2" w:rsidP="00164BD1">
      <w:pPr>
        <w:pStyle w:val="Heading1"/>
      </w:pPr>
      <w:r w:rsidRPr="006B7A35">
        <w:t>THE IMPORTANCE OF AN ACCURATE COUNT</w:t>
      </w:r>
    </w:p>
    <w:p w:rsidR="00525B54" w:rsidRPr="00164BD1" w:rsidRDefault="00525B54" w:rsidP="00220813">
      <w:pPr>
        <w:spacing w:after="0" w:line="240" w:lineRule="auto"/>
        <w:rPr>
          <w:rFonts w:cs="Arial"/>
          <w:sz w:val="36"/>
          <w:szCs w:val="40"/>
          <w:lang w:bidi="en-US"/>
        </w:rPr>
      </w:pPr>
      <w:r w:rsidRPr="00164BD1">
        <w:rPr>
          <w:rFonts w:cs="Arial"/>
          <w:sz w:val="36"/>
          <w:szCs w:val="40"/>
          <w:lang w:bidi="en-US"/>
        </w:rPr>
        <w:t xml:space="preserve">Once a decade, the Census Bureau fulfils a constitutionally mandated count of every person living in the United States. The decennial census is the largest peacetime mobilization undertaken by the federal government, culminating in a collection of data vital to U.S. social, political, and economic systems. </w:t>
      </w:r>
    </w:p>
    <w:p w:rsidR="00E878A2" w:rsidRPr="00164BD1" w:rsidRDefault="00E878A2" w:rsidP="00220813">
      <w:pPr>
        <w:spacing w:after="0" w:line="240" w:lineRule="auto"/>
        <w:rPr>
          <w:rFonts w:cs="Arial"/>
          <w:sz w:val="36"/>
          <w:szCs w:val="40"/>
          <w:lang w:bidi="en-US"/>
        </w:rPr>
      </w:pPr>
    </w:p>
    <w:p w:rsidR="00525B54" w:rsidRPr="00164BD1" w:rsidRDefault="00525B54" w:rsidP="00220813">
      <w:pPr>
        <w:spacing w:after="0" w:line="240" w:lineRule="auto"/>
        <w:rPr>
          <w:rFonts w:cs="Arial"/>
          <w:b/>
          <w:bCs/>
          <w:sz w:val="36"/>
          <w:szCs w:val="40"/>
          <w:lang w:bidi="en-US"/>
        </w:rPr>
      </w:pPr>
      <w:r w:rsidRPr="00164BD1">
        <w:rPr>
          <w:rFonts w:cs="Arial"/>
          <w:sz w:val="36"/>
          <w:szCs w:val="40"/>
          <w:lang w:bidi="en-US"/>
        </w:rPr>
        <w:t xml:space="preserve">How congressional seats are reallocated to U.S. states, where the boundaries of legislative, school, and voting precincts are drawn, and whether more than $800 billion annually in federal funds will be fairly distributed all depend on a fair and accurate decennial count. Communities and groups that are undercounted do not get their fair share of political representation or federal funding. </w:t>
      </w:r>
    </w:p>
    <w:p w:rsidR="00DF5AF2" w:rsidRPr="00164BD1" w:rsidRDefault="00DF5AF2" w:rsidP="00220813">
      <w:pPr>
        <w:spacing w:after="0" w:line="240" w:lineRule="auto"/>
        <w:rPr>
          <w:rFonts w:cs="Arial"/>
          <w:sz w:val="36"/>
          <w:szCs w:val="40"/>
          <w:lang w:bidi="en-US"/>
        </w:rPr>
      </w:pPr>
    </w:p>
    <w:p w:rsidR="00525B54" w:rsidRPr="00164BD1" w:rsidRDefault="00525B54" w:rsidP="00220813">
      <w:pPr>
        <w:spacing w:after="0" w:line="240" w:lineRule="auto"/>
        <w:rPr>
          <w:rFonts w:cs="Arial"/>
          <w:sz w:val="36"/>
          <w:szCs w:val="40"/>
          <w:lang w:bidi="en-US"/>
        </w:rPr>
      </w:pPr>
      <w:r w:rsidRPr="00164BD1">
        <w:rPr>
          <w:rFonts w:cs="Arial"/>
          <w:sz w:val="36"/>
          <w:szCs w:val="40"/>
          <w:lang w:bidi="en-US"/>
        </w:rPr>
        <w:t>The Census Bureau has identified people with disabilities as a hard-to-count population, which means they are at a greater risk of being undercounted in the census. The reasons for this include accessibilit</w:t>
      </w:r>
      <w:r w:rsidR="00DF5AF2" w:rsidRPr="00164BD1">
        <w:rPr>
          <w:rFonts w:cs="Arial"/>
          <w:sz w:val="36"/>
          <w:szCs w:val="40"/>
          <w:lang w:bidi="en-US"/>
        </w:rPr>
        <w:t xml:space="preserve">y challenges and wider system </w:t>
      </w:r>
      <w:r w:rsidRPr="00164BD1">
        <w:rPr>
          <w:rFonts w:cs="Arial"/>
          <w:sz w:val="36"/>
          <w:szCs w:val="40"/>
          <w:lang w:bidi="en-US"/>
        </w:rPr>
        <w:t>inequalities. People with disabilities are also overrepresented among other groups that are considered hard-to-count, such as people of color people with low incomes, and people experiencing homelessness. Currently, 61 million adults in the United States live with a disability.</w:t>
      </w:r>
      <w:r w:rsidRPr="00164BD1">
        <w:rPr>
          <w:rFonts w:cs="Arial"/>
          <w:sz w:val="36"/>
          <w:szCs w:val="40"/>
          <w:vertAlign w:val="superscript"/>
          <w:lang w:bidi="en-US"/>
        </w:rPr>
        <w:endnoteReference w:id="1"/>
      </w:r>
    </w:p>
    <w:p w:rsidR="00A0499C" w:rsidRPr="00164BD1" w:rsidRDefault="00A0499C" w:rsidP="00220813">
      <w:pPr>
        <w:spacing w:after="0" w:line="240" w:lineRule="auto"/>
        <w:rPr>
          <w:rFonts w:cs="Arial"/>
          <w:sz w:val="36"/>
          <w:szCs w:val="40"/>
          <w:lang w:bidi="en-US"/>
        </w:rPr>
      </w:pPr>
    </w:p>
    <w:p w:rsidR="006C527B" w:rsidRDefault="00525B54" w:rsidP="006C527B">
      <w:pPr>
        <w:spacing w:after="0" w:line="240" w:lineRule="auto"/>
        <w:rPr>
          <w:rFonts w:cs="Arial"/>
          <w:sz w:val="36"/>
          <w:szCs w:val="40"/>
          <w:lang w:bidi="en-US"/>
        </w:rPr>
      </w:pPr>
      <w:r w:rsidRPr="00164BD1">
        <w:rPr>
          <w:rFonts w:cs="Arial"/>
          <w:sz w:val="36"/>
          <w:szCs w:val="40"/>
          <w:lang w:bidi="en-US"/>
        </w:rPr>
        <w:t xml:space="preserve">A fair and accurate decennial census is vital for people with disabilities—and, indeed, for every person in the United States. The Census Bureau, its partners, and other stakeholders can and must take steps to help ensure a fair and accurate count of people with </w:t>
      </w:r>
      <w:r w:rsidR="006C527B">
        <w:rPr>
          <w:rFonts w:cs="Arial"/>
          <w:sz w:val="36"/>
          <w:szCs w:val="40"/>
          <w:lang w:bidi="en-US"/>
        </w:rPr>
        <w:t>disabilities in the 2020 Census.</w:t>
      </w:r>
    </w:p>
    <w:p w:rsidR="006C527B" w:rsidRPr="006C527B" w:rsidRDefault="006C527B" w:rsidP="006C527B">
      <w:pPr>
        <w:spacing w:after="0" w:line="240" w:lineRule="auto"/>
        <w:rPr>
          <w:rFonts w:cs="Arial"/>
          <w:sz w:val="36"/>
          <w:szCs w:val="40"/>
          <w:lang w:bidi="en-US"/>
        </w:rPr>
      </w:pPr>
    </w:p>
    <w:p w:rsidR="00525B54" w:rsidRPr="00164BD1" w:rsidRDefault="00A0499C" w:rsidP="00164BD1">
      <w:pPr>
        <w:pStyle w:val="Heading1"/>
      </w:pPr>
      <w:r w:rsidRPr="00164BD1">
        <w:t>PARTICIPATING IN THE 2020 CENSUS</w:t>
      </w:r>
    </w:p>
    <w:p w:rsidR="00525B54" w:rsidRPr="00164BD1" w:rsidRDefault="00525B54" w:rsidP="00220813">
      <w:pPr>
        <w:spacing w:after="0" w:line="240" w:lineRule="auto"/>
        <w:rPr>
          <w:rFonts w:cs="Arial"/>
          <w:sz w:val="36"/>
          <w:szCs w:val="40"/>
          <w:lang w:val="en"/>
        </w:rPr>
      </w:pPr>
      <w:r w:rsidRPr="00164BD1">
        <w:rPr>
          <w:rFonts w:cs="Arial"/>
          <w:sz w:val="36"/>
          <w:szCs w:val="40"/>
          <w:lang w:val="en"/>
        </w:rPr>
        <w:t>The Census Bureau will begin inviting people to participate in the 2020 Census in March of 2020. Most households will receive an invitation in the mail to self-respond online. Households will be able to complete their census forms online using either a desktop computer, a laptop, a tablet, or a smartphone.</w:t>
      </w:r>
      <w:r w:rsidRPr="00164BD1">
        <w:rPr>
          <w:rFonts w:cs="Arial"/>
          <w:sz w:val="36"/>
          <w:szCs w:val="40"/>
          <w:vertAlign w:val="superscript"/>
          <w:lang w:val="en"/>
        </w:rPr>
        <w:endnoteReference w:id="2"/>
      </w:r>
      <w:r w:rsidRPr="00164BD1">
        <w:rPr>
          <w:rFonts w:cs="Arial"/>
          <w:sz w:val="36"/>
          <w:szCs w:val="40"/>
          <w:lang w:val="en"/>
        </w:rPr>
        <w:t xml:space="preserve"> These respondents </w:t>
      </w:r>
      <w:r w:rsidRPr="00164BD1">
        <w:rPr>
          <w:rFonts w:cs="Arial"/>
          <w:sz w:val="36"/>
          <w:szCs w:val="40"/>
          <w:lang w:val="en"/>
        </w:rPr>
        <w:lastRenderedPageBreak/>
        <w:t>will also have the option to respond by phone or by mail. Every household that does not self-respond either online, by mail, or by phone, will receive reminders from the Census Bureau. Census enumerators, also referred to as census takers, will visit all households that did not self-respond, to collect responses in person.</w:t>
      </w:r>
      <w:r w:rsidRPr="00164BD1">
        <w:rPr>
          <w:rFonts w:cs="Arial"/>
          <w:sz w:val="36"/>
          <w:szCs w:val="40"/>
          <w:vertAlign w:val="superscript"/>
          <w:lang w:val="en"/>
        </w:rPr>
        <w:endnoteReference w:id="3"/>
      </w:r>
      <w:r w:rsidRPr="00164BD1">
        <w:rPr>
          <w:rFonts w:cs="Arial"/>
          <w:sz w:val="36"/>
          <w:szCs w:val="40"/>
          <w:lang w:val="en"/>
        </w:rPr>
        <w:t xml:space="preserve"> Those living in group living situations, such as skilled nursing homes or college dorms, will be counted in a separate operation called the Group Quarters (GQs) enumeration.</w:t>
      </w:r>
      <w:r w:rsidRPr="00164BD1">
        <w:rPr>
          <w:rFonts w:cs="Arial"/>
          <w:sz w:val="36"/>
          <w:szCs w:val="40"/>
          <w:vertAlign w:val="superscript"/>
          <w:lang w:val="en"/>
        </w:rPr>
        <w:endnoteReference w:id="4"/>
      </w:r>
    </w:p>
    <w:p w:rsidR="00A0499C" w:rsidRPr="00164BD1" w:rsidRDefault="00A0499C" w:rsidP="00220813">
      <w:pPr>
        <w:spacing w:after="0" w:line="240" w:lineRule="auto"/>
        <w:rPr>
          <w:rFonts w:cs="Arial"/>
          <w:sz w:val="36"/>
          <w:szCs w:val="40"/>
          <w:lang w:val="en"/>
        </w:rPr>
      </w:pPr>
    </w:p>
    <w:p w:rsidR="00525B54" w:rsidRPr="00164BD1" w:rsidRDefault="00525B54" w:rsidP="00220813">
      <w:pPr>
        <w:spacing w:after="0" w:line="240" w:lineRule="auto"/>
        <w:rPr>
          <w:rFonts w:cs="Arial"/>
          <w:sz w:val="36"/>
          <w:szCs w:val="40"/>
          <w:lang w:val="en"/>
        </w:rPr>
      </w:pPr>
      <w:bookmarkStart w:id="0" w:name="_30j0zll" w:colFirst="0" w:colLast="0"/>
      <w:bookmarkEnd w:id="0"/>
      <w:r w:rsidRPr="00164BD1">
        <w:rPr>
          <w:rFonts w:cs="Arial"/>
          <w:sz w:val="36"/>
          <w:szCs w:val="40"/>
          <w:lang w:val="en"/>
        </w:rPr>
        <w:t>The Census Bureau has indicated that every self-response mode in 2020 will be fully accessible.</w:t>
      </w:r>
      <w:r w:rsidRPr="00164BD1">
        <w:rPr>
          <w:rFonts w:cs="Arial"/>
          <w:sz w:val="36"/>
          <w:szCs w:val="40"/>
          <w:vertAlign w:val="superscript"/>
          <w:lang w:val="en"/>
        </w:rPr>
        <w:endnoteReference w:id="5"/>
      </w:r>
    </w:p>
    <w:p w:rsidR="00A0499C" w:rsidRPr="00164BD1" w:rsidRDefault="00A0499C" w:rsidP="00220813">
      <w:pPr>
        <w:spacing w:after="0" w:line="240" w:lineRule="auto"/>
        <w:rPr>
          <w:rFonts w:cs="Arial"/>
          <w:sz w:val="36"/>
          <w:szCs w:val="40"/>
          <w:lang w:val="en"/>
        </w:rPr>
      </w:pPr>
    </w:p>
    <w:p w:rsidR="00525B54" w:rsidRPr="00164BD1" w:rsidRDefault="00525B54" w:rsidP="00220813">
      <w:pPr>
        <w:pStyle w:val="ListParagraph"/>
        <w:numPr>
          <w:ilvl w:val="0"/>
          <w:numId w:val="5"/>
        </w:numPr>
        <w:spacing w:after="0" w:line="240" w:lineRule="auto"/>
        <w:rPr>
          <w:rFonts w:cs="Arial"/>
          <w:sz w:val="36"/>
          <w:szCs w:val="40"/>
          <w:lang w:val="en"/>
        </w:rPr>
      </w:pPr>
      <w:r w:rsidRPr="00164BD1">
        <w:rPr>
          <w:rFonts w:cs="Arial"/>
          <w:sz w:val="36"/>
          <w:szCs w:val="40"/>
          <w:lang w:val="en"/>
        </w:rPr>
        <w:t>Section 508 of the Rehabilitation Act of 1973 requires all federal agencies—including the Census Bureau—to make their electronic and information technology accessible to all people with disabilities.</w:t>
      </w:r>
      <w:r w:rsidRPr="00164BD1">
        <w:rPr>
          <w:sz w:val="36"/>
          <w:szCs w:val="40"/>
          <w:vertAlign w:val="superscript"/>
          <w:lang w:val="en"/>
        </w:rPr>
        <w:endnoteReference w:id="6"/>
      </w:r>
      <w:r w:rsidRPr="00164BD1">
        <w:rPr>
          <w:rFonts w:cs="Arial"/>
          <w:sz w:val="36"/>
          <w:szCs w:val="40"/>
          <w:lang w:val="en"/>
        </w:rPr>
        <w:t xml:space="preserve"> The bureau has conducted checks to ensure system compliance with Section 508 standards.</w:t>
      </w:r>
      <w:r w:rsidRPr="00164BD1">
        <w:rPr>
          <w:sz w:val="36"/>
          <w:szCs w:val="40"/>
          <w:vertAlign w:val="superscript"/>
          <w:lang w:val="en"/>
        </w:rPr>
        <w:endnoteReference w:id="7"/>
      </w:r>
    </w:p>
    <w:p w:rsidR="00525B54" w:rsidRPr="00164BD1" w:rsidRDefault="00525B54" w:rsidP="00220813">
      <w:pPr>
        <w:pStyle w:val="ListParagraph"/>
        <w:numPr>
          <w:ilvl w:val="0"/>
          <w:numId w:val="5"/>
        </w:numPr>
        <w:spacing w:after="0" w:line="240" w:lineRule="auto"/>
        <w:rPr>
          <w:rFonts w:cs="Arial"/>
          <w:sz w:val="36"/>
          <w:szCs w:val="40"/>
          <w:lang w:val="en"/>
        </w:rPr>
      </w:pPr>
      <w:r w:rsidRPr="00164BD1">
        <w:rPr>
          <w:rFonts w:cs="Arial"/>
          <w:sz w:val="36"/>
          <w:szCs w:val="40"/>
          <w:lang w:val="en"/>
        </w:rPr>
        <w:t>Braille and large print guides will be available to respondents to assist with self-response.</w:t>
      </w:r>
      <w:r w:rsidRPr="00164BD1">
        <w:rPr>
          <w:sz w:val="36"/>
          <w:szCs w:val="40"/>
          <w:vertAlign w:val="superscript"/>
          <w:lang w:val="en"/>
        </w:rPr>
        <w:endnoteReference w:id="8"/>
      </w:r>
      <w:r w:rsidRPr="00164BD1">
        <w:rPr>
          <w:rFonts w:cs="Arial"/>
          <w:sz w:val="36"/>
          <w:szCs w:val="40"/>
          <w:lang w:val="en"/>
        </w:rPr>
        <w:t xml:space="preserve"> The Census Bureau also plans to disseminate these print guides through their partnership programs.</w:t>
      </w:r>
      <w:r w:rsidRPr="00164BD1">
        <w:rPr>
          <w:sz w:val="36"/>
          <w:szCs w:val="40"/>
          <w:vertAlign w:val="superscript"/>
          <w:lang w:val="en"/>
        </w:rPr>
        <w:endnoteReference w:id="9"/>
      </w:r>
      <w:r w:rsidRPr="00164BD1">
        <w:rPr>
          <w:rFonts w:cs="Arial"/>
          <w:sz w:val="36"/>
          <w:szCs w:val="40"/>
          <w:lang w:val="en"/>
        </w:rPr>
        <w:t xml:space="preserve"> Language guides will also be available in 59 non-English languages, including an American Sign Language video guide.</w:t>
      </w:r>
      <w:r w:rsidRPr="00164BD1">
        <w:rPr>
          <w:sz w:val="36"/>
          <w:szCs w:val="40"/>
          <w:vertAlign w:val="superscript"/>
          <w:lang w:val="en"/>
        </w:rPr>
        <w:endnoteReference w:id="10"/>
      </w:r>
      <w:bookmarkStart w:id="1" w:name="_1fob9te"/>
      <w:bookmarkEnd w:id="1"/>
    </w:p>
    <w:p w:rsidR="00525B54" w:rsidRPr="00164BD1" w:rsidRDefault="00525B54" w:rsidP="00220813">
      <w:pPr>
        <w:pStyle w:val="ListParagraph"/>
        <w:numPr>
          <w:ilvl w:val="0"/>
          <w:numId w:val="5"/>
        </w:numPr>
        <w:spacing w:after="0" w:line="240" w:lineRule="auto"/>
        <w:rPr>
          <w:rFonts w:cs="Arial"/>
          <w:sz w:val="36"/>
          <w:szCs w:val="40"/>
          <w:lang w:val="en"/>
        </w:rPr>
      </w:pPr>
      <w:r w:rsidRPr="00164BD1">
        <w:rPr>
          <w:rFonts w:cs="Arial"/>
          <w:sz w:val="36"/>
          <w:szCs w:val="40"/>
          <w:lang w:val="en"/>
        </w:rPr>
        <w:t>As a part of the Census Questionnaire Assistance (CQA) operation, the Census Bureau’s telephone call centers will answer questions and accept responses in English and in 12 other languages: Spanish, Chinese, Vietnamese, Korean, Russian, Arabic, Tagalog, Polish, French, Haitian Creole, Portuguese, and Japanese.</w:t>
      </w:r>
      <w:r w:rsidRPr="00164BD1">
        <w:rPr>
          <w:sz w:val="36"/>
          <w:szCs w:val="40"/>
          <w:vertAlign w:val="superscript"/>
          <w:lang w:val="en"/>
        </w:rPr>
        <w:endnoteReference w:id="11"/>
      </w:r>
      <w:r w:rsidRPr="00164BD1">
        <w:rPr>
          <w:rFonts w:cs="Arial"/>
          <w:sz w:val="36"/>
          <w:szCs w:val="40"/>
          <w:vertAlign w:val="superscript"/>
          <w:lang w:val="en"/>
        </w:rPr>
        <w:t xml:space="preserve"> </w:t>
      </w:r>
      <w:r w:rsidRPr="00164BD1">
        <w:rPr>
          <w:rFonts w:cs="Arial"/>
          <w:sz w:val="36"/>
          <w:szCs w:val="40"/>
          <w:lang w:val="en"/>
        </w:rPr>
        <w:t xml:space="preserve">The call centers will utilize </w:t>
      </w:r>
      <w:r w:rsidRPr="00164BD1">
        <w:rPr>
          <w:rFonts w:cs="Arial"/>
          <w:sz w:val="36"/>
          <w:szCs w:val="40"/>
          <w:lang w:val="en"/>
        </w:rPr>
        <w:lastRenderedPageBreak/>
        <w:t>Telephone Device for the Deaf (TDD) technology and their telephone number will be included on the postcards mailed to every household.</w:t>
      </w:r>
      <w:r w:rsidRPr="00164BD1">
        <w:rPr>
          <w:sz w:val="36"/>
          <w:szCs w:val="40"/>
          <w:vertAlign w:val="superscript"/>
          <w:lang w:val="en"/>
        </w:rPr>
        <w:endnoteReference w:id="12"/>
      </w:r>
    </w:p>
    <w:p w:rsidR="00A0499C" w:rsidRPr="00164BD1" w:rsidRDefault="00A0499C" w:rsidP="00220813">
      <w:pPr>
        <w:spacing w:after="0" w:line="240" w:lineRule="auto"/>
        <w:rPr>
          <w:rFonts w:cs="Arial"/>
          <w:sz w:val="36"/>
          <w:szCs w:val="40"/>
          <w:lang w:val="en"/>
        </w:rPr>
      </w:pPr>
    </w:p>
    <w:p w:rsidR="00525B54" w:rsidRPr="00164BD1" w:rsidRDefault="00A0499C" w:rsidP="00220813">
      <w:pPr>
        <w:pStyle w:val="Heading2"/>
        <w:rPr>
          <w:rFonts w:asciiTheme="minorHAnsi" w:hAnsiTheme="minorHAnsi"/>
          <w:color w:val="auto"/>
          <w:sz w:val="40"/>
          <w:szCs w:val="40"/>
        </w:rPr>
      </w:pPr>
      <w:bookmarkStart w:id="2" w:name="_3znysh7" w:colFirst="0" w:colLast="0"/>
      <w:bookmarkEnd w:id="2"/>
      <w:r w:rsidRPr="00164BD1">
        <w:rPr>
          <w:rFonts w:asciiTheme="minorHAnsi" w:hAnsiTheme="minorHAnsi"/>
          <w:color w:val="auto"/>
          <w:sz w:val="40"/>
          <w:szCs w:val="40"/>
        </w:rPr>
        <w:t>GROUP QUARTERS (GQS)</w:t>
      </w:r>
    </w:p>
    <w:p w:rsidR="00525B54" w:rsidRPr="00164BD1" w:rsidRDefault="00525B54" w:rsidP="00220813">
      <w:pPr>
        <w:spacing w:after="0" w:line="240" w:lineRule="auto"/>
        <w:rPr>
          <w:rFonts w:cs="Arial"/>
          <w:sz w:val="36"/>
          <w:szCs w:val="40"/>
          <w:lang w:val="en"/>
        </w:rPr>
      </w:pPr>
      <w:r w:rsidRPr="00164BD1">
        <w:rPr>
          <w:rFonts w:cs="Arial"/>
          <w:sz w:val="36"/>
          <w:szCs w:val="40"/>
          <w:lang w:val="en"/>
        </w:rPr>
        <w:t>The Census Bureau counts individuals living in group facilities through the Group Quarters operation. GQs include skilled nursing facilities, residential treatment centers, college/university student dormitories, prisons, military barracks, shelters for people experiencing homelessness, and vocational training facilities.</w:t>
      </w:r>
      <w:r w:rsidRPr="00164BD1">
        <w:rPr>
          <w:rFonts w:cs="Arial"/>
          <w:sz w:val="36"/>
          <w:szCs w:val="40"/>
          <w:vertAlign w:val="superscript"/>
          <w:lang w:val="en"/>
        </w:rPr>
        <w:endnoteReference w:id="13"/>
      </w:r>
      <w:r w:rsidRPr="00164BD1">
        <w:rPr>
          <w:rFonts w:cs="Arial"/>
          <w:sz w:val="36"/>
          <w:szCs w:val="40"/>
          <w:lang w:val="en"/>
        </w:rPr>
        <w:t xml:space="preserve"> People living in GQs do not self-respond online, by phone, or by returning a paper questionnaire by mail.</w:t>
      </w:r>
      <w:r w:rsidRPr="00164BD1">
        <w:rPr>
          <w:rFonts w:cs="Arial"/>
          <w:sz w:val="36"/>
          <w:szCs w:val="40"/>
          <w:vertAlign w:val="superscript"/>
          <w:lang w:val="en"/>
        </w:rPr>
        <w:endnoteReference w:id="14"/>
      </w:r>
      <w:r w:rsidRPr="00164BD1">
        <w:rPr>
          <w:rFonts w:cs="Arial"/>
          <w:sz w:val="36"/>
          <w:szCs w:val="40"/>
          <w:lang w:val="en"/>
        </w:rPr>
        <w:t xml:space="preserve"> Instead, the census field staff will collect data using special GQ enumeration methods. These methods include the following: </w:t>
      </w:r>
    </w:p>
    <w:p w:rsidR="00A0499C" w:rsidRPr="00164BD1" w:rsidRDefault="00A0499C" w:rsidP="00220813">
      <w:pPr>
        <w:spacing w:after="0" w:line="240" w:lineRule="auto"/>
        <w:rPr>
          <w:rFonts w:cs="Arial"/>
          <w:sz w:val="36"/>
          <w:szCs w:val="40"/>
          <w:lang w:val="en"/>
        </w:rPr>
      </w:pPr>
    </w:p>
    <w:p w:rsidR="00525B54" w:rsidRPr="00164BD1" w:rsidRDefault="00525B54" w:rsidP="00220813">
      <w:pPr>
        <w:pStyle w:val="ListParagraph"/>
        <w:numPr>
          <w:ilvl w:val="0"/>
          <w:numId w:val="6"/>
        </w:numPr>
        <w:spacing w:after="0" w:line="240" w:lineRule="auto"/>
        <w:rPr>
          <w:rFonts w:cs="Arial"/>
          <w:sz w:val="36"/>
          <w:szCs w:val="40"/>
          <w:lang w:val="en"/>
        </w:rPr>
      </w:pPr>
      <w:r w:rsidRPr="00164BD1">
        <w:rPr>
          <w:rFonts w:cs="Arial"/>
          <w:b/>
          <w:sz w:val="36"/>
          <w:szCs w:val="40"/>
          <w:lang w:val="en"/>
        </w:rPr>
        <w:t>Electronic Data Transfer</w:t>
      </w:r>
      <w:r w:rsidRPr="00164BD1">
        <w:rPr>
          <w:rFonts w:cs="Arial"/>
          <w:sz w:val="36"/>
          <w:szCs w:val="40"/>
          <w:lang w:val="en"/>
        </w:rPr>
        <w:t>: The Electronic Response Data Transfer (eResponse) enumeration is available to specific GQ types. The method allows administrators of GQs to electronically transfer requested respondent-level data to the Census Bureau in a standardized template.</w:t>
      </w:r>
      <w:r w:rsidRPr="00164BD1">
        <w:rPr>
          <w:sz w:val="36"/>
          <w:szCs w:val="40"/>
          <w:vertAlign w:val="superscript"/>
          <w:lang w:val="en"/>
        </w:rPr>
        <w:endnoteReference w:id="15"/>
      </w:r>
      <w:r w:rsidRPr="00164BD1">
        <w:rPr>
          <w:rFonts w:cs="Arial"/>
          <w:sz w:val="36"/>
          <w:szCs w:val="40"/>
          <w:lang w:val="en"/>
        </w:rPr>
        <w:t xml:space="preserve"> </w:t>
      </w:r>
    </w:p>
    <w:p w:rsidR="00525B54" w:rsidRPr="00164BD1" w:rsidRDefault="00A0499C" w:rsidP="00220813">
      <w:pPr>
        <w:pStyle w:val="ListParagraph"/>
        <w:numPr>
          <w:ilvl w:val="0"/>
          <w:numId w:val="6"/>
        </w:numPr>
        <w:spacing w:after="0" w:line="240" w:lineRule="auto"/>
        <w:rPr>
          <w:rFonts w:cs="Arial"/>
          <w:sz w:val="36"/>
          <w:szCs w:val="40"/>
          <w:lang w:val="en"/>
        </w:rPr>
      </w:pPr>
      <w:r w:rsidRPr="00164BD1">
        <w:rPr>
          <w:rFonts w:cs="Arial"/>
          <w:b/>
          <w:bCs/>
          <w:sz w:val="36"/>
          <w:szCs w:val="40"/>
          <w:lang w:val="en"/>
        </w:rPr>
        <w:t>I</w:t>
      </w:r>
      <w:r w:rsidR="00525B54" w:rsidRPr="00164BD1">
        <w:rPr>
          <w:rFonts w:cs="Arial"/>
          <w:b/>
          <w:bCs/>
          <w:sz w:val="36"/>
          <w:szCs w:val="40"/>
          <w:lang w:val="en"/>
        </w:rPr>
        <w:t>n-Person Interviews</w:t>
      </w:r>
      <w:r w:rsidR="00525B54" w:rsidRPr="00164BD1">
        <w:rPr>
          <w:rFonts w:cs="Arial"/>
          <w:sz w:val="36"/>
          <w:szCs w:val="40"/>
          <w:lang w:val="en"/>
        </w:rPr>
        <w:t xml:space="preserve">: Depending on the type of GQ, Census workers or a sworn-in GQ administrator may conduct in-person interviews with individuals residing there. </w:t>
      </w:r>
    </w:p>
    <w:p w:rsidR="00525B54" w:rsidRPr="00164BD1" w:rsidRDefault="00525B54" w:rsidP="00220813">
      <w:pPr>
        <w:pStyle w:val="ListParagraph"/>
        <w:numPr>
          <w:ilvl w:val="0"/>
          <w:numId w:val="6"/>
        </w:numPr>
        <w:spacing w:after="0" w:line="240" w:lineRule="auto"/>
        <w:rPr>
          <w:rFonts w:cs="Arial"/>
          <w:sz w:val="36"/>
          <w:szCs w:val="40"/>
          <w:lang w:val="en"/>
        </w:rPr>
      </w:pPr>
      <w:r w:rsidRPr="00164BD1">
        <w:rPr>
          <w:rFonts w:cs="Arial"/>
          <w:b/>
          <w:bCs/>
          <w:sz w:val="36"/>
          <w:szCs w:val="40"/>
          <w:lang w:val="en"/>
        </w:rPr>
        <w:t>Paper Questionnaires &amp; Listings</w:t>
      </w:r>
      <w:r w:rsidRPr="00164BD1">
        <w:rPr>
          <w:rFonts w:cs="Arial"/>
          <w:sz w:val="36"/>
          <w:szCs w:val="40"/>
          <w:lang w:val="en"/>
        </w:rPr>
        <w:t>: Census workers may also drop off and pick up modified paper questionnaires, called Individual Census Reports, to be completed by each person staying at the GQ. Alternatively, census workers may collect paper listings with respondent-level data from the GQ administrator.</w:t>
      </w:r>
      <w:r w:rsidRPr="00164BD1">
        <w:rPr>
          <w:sz w:val="36"/>
          <w:szCs w:val="40"/>
          <w:vertAlign w:val="superscript"/>
          <w:lang w:val="en"/>
        </w:rPr>
        <w:endnoteReference w:id="16"/>
      </w:r>
    </w:p>
    <w:p w:rsidR="006B7A35" w:rsidRDefault="00525B54" w:rsidP="00164BD1">
      <w:pPr>
        <w:pStyle w:val="ListParagraph"/>
        <w:numPr>
          <w:ilvl w:val="0"/>
          <w:numId w:val="6"/>
        </w:numPr>
        <w:spacing w:after="0" w:line="240" w:lineRule="auto"/>
        <w:rPr>
          <w:rFonts w:cs="Arial"/>
          <w:sz w:val="36"/>
          <w:szCs w:val="40"/>
          <w:lang w:val="en"/>
        </w:rPr>
      </w:pPr>
      <w:r w:rsidRPr="00164BD1">
        <w:rPr>
          <w:rFonts w:cs="Arial"/>
          <w:b/>
          <w:sz w:val="36"/>
          <w:szCs w:val="40"/>
          <w:lang w:val="en"/>
        </w:rPr>
        <w:lastRenderedPageBreak/>
        <w:t>Service-Based Enumeration</w:t>
      </w:r>
      <w:r w:rsidRPr="00164BD1">
        <w:rPr>
          <w:rFonts w:cs="Arial"/>
          <w:sz w:val="36"/>
          <w:szCs w:val="40"/>
          <w:lang w:val="en"/>
        </w:rPr>
        <w:t>: People experiencing homelessness will be counted at the places where they receive services, including shelters and meal centers, and at targeted outdoor locations, over a three-day period starting on March 30 and ending on April 1, 2020.</w:t>
      </w:r>
      <w:r w:rsidRPr="00164BD1">
        <w:rPr>
          <w:sz w:val="36"/>
          <w:szCs w:val="40"/>
          <w:vertAlign w:val="superscript"/>
          <w:lang w:val="en"/>
        </w:rPr>
        <w:endnoteReference w:id="17"/>
      </w:r>
      <w:r w:rsidRPr="00164BD1">
        <w:rPr>
          <w:rFonts w:cs="Arial"/>
          <w:sz w:val="36"/>
          <w:szCs w:val="40"/>
          <w:lang w:val="en"/>
        </w:rPr>
        <w:t xml:space="preserve"> Census staff will contact GQ administrators ahead of time to set an agreed-upon date, time, and preferred method for the enumeration.</w:t>
      </w:r>
      <w:r w:rsidRPr="00164BD1">
        <w:rPr>
          <w:sz w:val="36"/>
          <w:szCs w:val="40"/>
          <w:vertAlign w:val="superscript"/>
          <w:lang w:val="en"/>
        </w:rPr>
        <w:endnoteReference w:id="18"/>
      </w:r>
      <w:r w:rsidRPr="00164BD1">
        <w:rPr>
          <w:rFonts w:cs="Arial"/>
          <w:sz w:val="36"/>
          <w:szCs w:val="40"/>
          <w:lang w:val="en"/>
        </w:rPr>
        <w:t xml:space="preserve">  </w:t>
      </w:r>
      <w:bookmarkStart w:id="3" w:name="_2et92p0" w:colFirst="0" w:colLast="0"/>
      <w:bookmarkEnd w:id="3"/>
    </w:p>
    <w:p w:rsidR="006C527B" w:rsidRPr="006C527B" w:rsidRDefault="006C527B" w:rsidP="006C527B">
      <w:pPr>
        <w:spacing w:after="0" w:line="240" w:lineRule="auto"/>
        <w:rPr>
          <w:rFonts w:cs="Arial"/>
          <w:sz w:val="36"/>
          <w:szCs w:val="40"/>
          <w:lang w:val="en"/>
        </w:rPr>
      </w:pPr>
    </w:p>
    <w:p w:rsidR="00E777DD" w:rsidRPr="006B7A35" w:rsidRDefault="00525B54" w:rsidP="00164BD1">
      <w:pPr>
        <w:pStyle w:val="Heading1"/>
        <w:rPr>
          <w:lang w:val="en"/>
        </w:rPr>
      </w:pPr>
      <w:r w:rsidRPr="006B7A35">
        <w:t>ACHIEVING A FAIR &amp; ACCURATE CENSUS COUNT</w:t>
      </w:r>
      <w:bookmarkStart w:id="4" w:name="_tyjcwt" w:colFirst="0" w:colLast="0"/>
      <w:bookmarkEnd w:id="4"/>
    </w:p>
    <w:p w:rsidR="00525B54" w:rsidRPr="006B7A35" w:rsidRDefault="00A0499C" w:rsidP="00220813">
      <w:pPr>
        <w:pStyle w:val="Heading2"/>
        <w:rPr>
          <w:rFonts w:asciiTheme="minorHAnsi" w:hAnsiTheme="minorHAnsi"/>
          <w:color w:val="auto"/>
          <w:sz w:val="40"/>
          <w:szCs w:val="40"/>
        </w:rPr>
      </w:pPr>
      <w:r w:rsidRPr="006B7A35">
        <w:rPr>
          <w:rFonts w:asciiTheme="minorHAnsi" w:hAnsiTheme="minorHAnsi"/>
          <w:color w:val="auto"/>
          <w:sz w:val="40"/>
          <w:szCs w:val="40"/>
        </w:rPr>
        <w:t>THE DIGITAL DIVIDE</w:t>
      </w:r>
    </w:p>
    <w:p w:rsidR="00525B54" w:rsidRPr="00164BD1" w:rsidRDefault="00525B54" w:rsidP="00220813">
      <w:pPr>
        <w:spacing w:after="0" w:line="240" w:lineRule="auto"/>
        <w:rPr>
          <w:rFonts w:cs="Arial"/>
          <w:sz w:val="36"/>
          <w:szCs w:val="40"/>
          <w:lang w:val="en"/>
        </w:rPr>
      </w:pPr>
      <w:r w:rsidRPr="00164BD1">
        <w:rPr>
          <w:rFonts w:cs="Arial"/>
          <w:sz w:val="36"/>
          <w:szCs w:val="40"/>
          <w:lang w:val="en"/>
        </w:rPr>
        <w:t>The Census Bureau’s online response option represents both an opportunity and challenge to the disability community. For many, the option will be more convenient than responding by mail. This is, in part, due to the greater availability and increased effectiveness of screen readers, electronic magnifiers, and other assistive technology tools. However, a significant digital divide exists between people with and without disabilities: people with disabilities are about 20 percentage points less likely to own a computer, tablet, or smartphone or subscribe to home broadband.</w:t>
      </w:r>
      <w:r w:rsidRPr="00164BD1">
        <w:rPr>
          <w:rFonts w:cs="Arial"/>
          <w:sz w:val="36"/>
          <w:szCs w:val="40"/>
          <w:vertAlign w:val="superscript"/>
          <w:lang w:val="en"/>
        </w:rPr>
        <w:endnoteReference w:id="19"/>
      </w:r>
      <w:r w:rsidRPr="00164BD1">
        <w:rPr>
          <w:rFonts w:cs="Arial"/>
          <w:sz w:val="36"/>
          <w:szCs w:val="40"/>
          <w:lang w:val="en"/>
        </w:rPr>
        <w:t xml:space="preserve"> Without reliable internet access, people with disabilities may encounter difficulties completing the online form. </w:t>
      </w:r>
    </w:p>
    <w:p w:rsidR="00A0499C" w:rsidRPr="00164BD1" w:rsidRDefault="00A0499C" w:rsidP="00220813">
      <w:pPr>
        <w:spacing w:after="0" w:line="240" w:lineRule="auto"/>
        <w:rPr>
          <w:rFonts w:cs="Arial"/>
          <w:sz w:val="36"/>
          <w:szCs w:val="40"/>
          <w:lang w:val="en"/>
        </w:rPr>
      </w:pPr>
    </w:p>
    <w:p w:rsidR="00525B54" w:rsidRPr="00164BD1" w:rsidRDefault="00525B54" w:rsidP="00220813">
      <w:pPr>
        <w:spacing w:after="0" w:line="240" w:lineRule="auto"/>
        <w:rPr>
          <w:rFonts w:cs="Arial"/>
          <w:sz w:val="36"/>
          <w:szCs w:val="40"/>
          <w:lang w:val="en"/>
        </w:rPr>
      </w:pPr>
      <w:r w:rsidRPr="00164BD1">
        <w:rPr>
          <w:rFonts w:cs="Arial"/>
          <w:sz w:val="36"/>
          <w:szCs w:val="40"/>
          <w:lang w:val="en"/>
        </w:rPr>
        <w:t xml:space="preserve">Respondents may also choose to answer the census over the phone and households that do not self-respond by mid-April will receive a paper questionnaire if their initial census package did not include one. For households that do not self-respond, census staff will follow up in person. The American Library Association reminds </w:t>
      </w:r>
      <w:r w:rsidRPr="00164BD1">
        <w:rPr>
          <w:rFonts w:cs="Arial"/>
          <w:sz w:val="36"/>
          <w:szCs w:val="40"/>
          <w:lang w:val="en"/>
        </w:rPr>
        <w:lastRenderedPageBreak/>
        <w:t>households that they can also self-respond using the internet at their local libraries.</w:t>
      </w:r>
      <w:r w:rsidRPr="00164BD1">
        <w:rPr>
          <w:rFonts w:cs="Arial"/>
          <w:sz w:val="36"/>
          <w:szCs w:val="40"/>
          <w:vertAlign w:val="superscript"/>
          <w:lang w:val="en"/>
        </w:rPr>
        <w:endnoteReference w:id="20"/>
      </w:r>
      <w:r w:rsidRPr="00164BD1">
        <w:rPr>
          <w:rFonts w:cs="Arial"/>
          <w:sz w:val="36"/>
          <w:szCs w:val="40"/>
          <w:lang w:val="en"/>
        </w:rPr>
        <w:t xml:space="preserve"> </w:t>
      </w:r>
    </w:p>
    <w:p w:rsidR="00A0499C" w:rsidRPr="00164BD1" w:rsidRDefault="00A0499C" w:rsidP="00220813">
      <w:pPr>
        <w:spacing w:after="0" w:line="240" w:lineRule="auto"/>
        <w:rPr>
          <w:rFonts w:cs="Arial"/>
          <w:sz w:val="36"/>
          <w:szCs w:val="40"/>
          <w:lang w:val="en"/>
        </w:rPr>
      </w:pPr>
    </w:p>
    <w:p w:rsidR="00525B54" w:rsidRPr="006B7A35" w:rsidRDefault="00A0499C" w:rsidP="00220813">
      <w:pPr>
        <w:pStyle w:val="Heading2"/>
        <w:rPr>
          <w:rFonts w:asciiTheme="minorHAnsi" w:hAnsiTheme="minorHAnsi"/>
          <w:color w:val="auto"/>
          <w:sz w:val="40"/>
          <w:szCs w:val="40"/>
        </w:rPr>
      </w:pPr>
      <w:bookmarkStart w:id="5" w:name="_3dy6vkm" w:colFirst="0" w:colLast="0"/>
      <w:bookmarkEnd w:id="5"/>
      <w:r w:rsidRPr="006B7A35">
        <w:rPr>
          <w:rFonts w:asciiTheme="minorHAnsi" w:hAnsiTheme="minorHAnsi"/>
          <w:color w:val="auto"/>
          <w:sz w:val="40"/>
          <w:szCs w:val="40"/>
        </w:rPr>
        <w:t xml:space="preserve">HARD-TO-COUNT POPULATIONS </w:t>
      </w:r>
    </w:p>
    <w:p w:rsidR="00525B54" w:rsidRPr="00164BD1" w:rsidRDefault="00525B54" w:rsidP="00220813">
      <w:pPr>
        <w:spacing w:after="0" w:line="240" w:lineRule="auto"/>
        <w:rPr>
          <w:rFonts w:cs="Arial"/>
          <w:sz w:val="36"/>
          <w:szCs w:val="40"/>
          <w:lang w:val="en"/>
        </w:rPr>
      </w:pPr>
      <w:r w:rsidRPr="00164BD1">
        <w:rPr>
          <w:rFonts w:cs="Arial"/>
          <w:sz w:val="36"/>
          <w:szCs w:val="40"/>
          <w:lang w:val="en"/>
        </w:rPr>
        <w:t>Hard-to-count populations are groups and communities that are at a higher risk of being missed in the decennial census. The Census Bureau had identified people with disabilities as a hard-to-count population. Other hard-to-count populations include young children, people of color, people experiencing homelessness, LGBTQ persons, and people with disabilities.</w:t>
      </w:r>
      <w:r w:rsidRPr="00164BD1">
        <w:rPr>
          <w:rFonts w:cs="Arial"/>
          <w:sz w:val="36"/>
          <w:szCs w:val="40"/>
          <w:vertAlign w:val="superscript"/>
          <w:lang w:val="en"/>
        </w:rPr>
        <w:endnoteReference w:id="21"/>
      </w:r>
      <w:r w:rsidRPr="00164BD1">
        <w:rPr>
          <w:rFonts w:cs="Arial"/>
          <w:sz w:val="36"/>
          <w:szCs w:val="40"/>
          <w:lang w:val="en"/>
        </w:rPr>
        <w:t xml:space="preserve"> </w:t>
      </w:r>
    </w:p>
    <w:p w:rsidR="00642A05" w:rsidRPr="00164BD1" w:rsidRDefault="00642A05" w:rsidP="00220813">
      <w:pPr>
        <w:spacing w:after="0" w:line="240" w:lineRule="auto"/>
        <w:rPr>
          <w:rFonts w:cs="Arial"/>
          <w:sz w:val="36"/>
          <w:szCs w:val="40"/>
          <w:lang w:val="en"/>
        </w:rPr>
      </w:pPr>
    </w:p>
    <w:p w:rsidR="00525B54" w:rsidRPr="00164BD1" w:rsidRDefault="00525B54" w:rsidP="00220813">
      <w:pPr>
        <w:spacing w:after="0" w:line="240" w:lineRule="auto"/>
        <w:rPr>
          <w:rFonts w:cs="Arial"/>
          <w:sz w:val="36"/>
          <w:szCs w:val="40"/>
          <w:lang w:val="en"/>
        </w:rPr>
      </w:pPr>
      <w:r w:rsidRPr="00164BD1">
        <w:rPr>
          <w:rFonts w:cs="Arial"/>
          <w:sz w:val="36"/>
          <w:szCs w:val="40"/>
          <w:lang w:val="en"/>
        </w:rPr>
        <w:t xml:space="preserve">People with physical and developmental disabilities may be undercounted due to distinct yet often overlapping causes. When poorly designed and tested, inaccessible surveys restrict the participation of people with disabilities. Similarly, insufficient or ineffective outreach efforts may also mean that people with disabilities are not informed of the necessary resources available to support completing the survey. </w:t>
      </w:r>
    </w:p>
    <w:p w:rsidR="00642A05" w:rsidRPr="00164BD1" w:rsidRDefault="00642A05" w:rsidP="00220813">
      <w:pPr>
        <w:spacing w:after="0" w:line="240" w:lineRule="auto"/>
        <w:rPr>
          <w:rFonts w:cs="Arial"/>
          <w:sz w:val="36"/>
          <w:szCs w:val="40"/>
          <w:lang w:val="en"/>
        </w:rPr>
      </w:pPr>
    </w:p>
    <w:p w:rsidR="00525B54" w:rsidRPr="00164BD1" w:rsidRDefault="00525B54" w:rsidP="00220813">
      <w:pPr>
        <w:spacing w:after="0" w:line="240" w:lineRule="auto"/>
        <w:rPr>
          <w:rFonts w:cs="Arial"/>
          <w:sz w:val="36"/>
          <w:szCs w:val="40"/>
          <w:lang w:val="en"/>
        </w:rPr>
      </w:pPr>
      <w:r w:rsidRPr="00164BD1">
        <w:rPr>
          <w:rFonts w:cs="Arial"/>
          <w:sz w:val="36"/>
          <w:szCs w:val="40"/>
          <w:lang w:val="en"/>
        </w:rPr>
        <w:t>People with disabilities may also feel reluctant to participate in the census. Anecdotal evidence suggests that people with disabilities may be suspicious of the government or concerned that personal information will be used to determine their eligibility for government programs.</w:t>
      </w:r>
      <w:r w:rsidRPr="00164BD1">
        <w:rPr>
          <w:rFonts w:cs="Arial"/>
          <w:sz w:val="36"/>
          <w:szCs w:val="40"/>
          <w:vertAlign w:val="superscript"/>
          <w:lang w:val="en"/>
        </w:rPr>
        <w:endnoteReference w:id="22"/>
      </w:r>
      <w:r w:rsidRPr="00164BD1">
        <w:rPr>
          <w:rFonts w:cs="Arial"/>
          <w:sz w:val="36"/>
          <w:szCs w:val="40"/>
          <w:lang w:val="en"/>
        </w:rPr>
        <w:t xml:space="preserve"> Individuals with a mental health history, for example, may strongly mistrust federal authorities due to past experiences of involuntary treatment or the criminalization of behavior and circumstances associated with their mental health condition.</w:t>
      </w:r>
      <w:r w:rsidRPr="00164BD1">
        <w:rPr>
          <w:rFonts w:cs="Arial"/>
          <w:sz w:val="36"/>
          <w:szCs w:val="40"/>
          <w:vertAlign w:val="superscript"/>
          <w:lang w:val="en"/>
        </w:rPr>
        <w:endnoteReference w:id="23"/>
      </w:r>
      <w:r w:rsidRPr="00164BD1">
        <w:rPr>
          <w:rFonts w:cs="Arial"/>
          <w:sz w:val="36"/>
          <w:szCs w:val="40"/>
          <w:lang w:val="en"/>
        </w:rPr>
        <w:t xml:space="preserve"> </w:t>
      </w:r>
    </w:p>
    <w:p w:rsidR="00642A05" w:rsidRPr="00164BD1" w:rsidRDefault="00642A05" w:rsidP="00220813">
      <w:pPr>
        <w:spacing w:after="0" w:line="240" w:lineRule="auto"/>
        <w:rPr>
          <w:rFonts w:cs="Arial"/>
          <w:sz w:val="36"/>
          <w:szCs w:val="40"/>
          <w:lang w:val="en"/>
        </w:rPr>
      </w:pPr>
    </w:p>
    <w:p w:rsidR="00525B54" w:rsidRPr="00164BD1" w:rsidRDefault="00525B54" w:rsidP="00220813">
      <w:pPr>
        <w:spacing w:after="0" w:line="240" w:lineRule="auto"/>
        <w:rPr>
          <w:rFonts w:cs="Arial"/>
          <w:sz w:val="36"/>
          <w:szCs w:val="40"/>
          <w:lang w:val="en"/>
        </w:rPr>
      </w:pPr>
      <w:r w:rsidRPr="00164BD1">
        <w:rPr>
          <w:rFonts w:cs="Arial"/>
          <w:sz w:val="36"/>
          <w:szCs w:val="40"/>
          <w:lang w:val="en"/>
        </w:rPr>
        <w:lastRenderedPageBreak/>
        <w:t>Moreover, people with disabilities are disproportionately likely to be part of other hard-to-count populations. Disability is prevalent among racial and ethnic minorities who have been undercounted historically: a quarter or more of American Indians/Alaska Natives, and Black adults have a disability.</w:t>
      </w:r>
      <w:r w:rsidRPr="00164BD1">
        <w:rPr>
          <w:rFonts w:cs="Arial"/>
          <w:sz w:val="36"/>
          <w:szCs w:val="40"/>
          <w:vertAlign w:val="superscript"/>
          <w:lang w:val="en"/>
        </w:rPr>
        <w:endnoteReference w:id="24"/>
      </w:r>
      <w:r w:rsidRPr="00164BD1">
        <w:rPr>
          <w:rFonts w:cs="Arial"/>
          <w:sz w:val="36"/>
          <w:szCs w:val="40"/>
          <w:lang w:val="en"/>
        </w:rPr>
        <w:t xml:space="preserve"> An equivalent share of individuals experiencing homelessness have one or more disabilities.</w:t>
      </w:r>
      <w:r w:rsidRPr="00164BD1">
        <w:rPr>
          <w:rFonts w:cs="Arial"/>
          <w:sz w:val="36"/>
          <w:szCs w:val="40"/>
          <w:vertAlign w:val="superscript"/>
          <w:lang w:val="en"/>
        </w:rPr>
        <w:endnoteReference w:id="25"/>
      </w:r>
      <w:r w:rsidRPr="00164BD1">
        <w:rPr>
          <w:rFonts w:cs="Arial"/>
          <w:sz w:val="36"/>
          <w:szCs w:val="40"/>
          <w:lang w:val="en"/>
        </w:rPr>
        <w:t xml:space="preserve"> LGBTQ people and people with low-incomes are also more likely to be living with disabilities.</w:t>
      </w:r>
      <w:r w:rsidRPr="00164BD1">
        <w:rPr>
          <w:rFonts w:cs="Arial"/>
          <w:sz w:val="36"/>
          <w:szCs w:val="40"/>
          <w:vertAlign w:val="superscript"/>
          <w:lang w:val="en"/>
        </w:rPr>
        <w:endnoteReference w:id="26"/>
      </w:r>
      <w:r w:rsidRPr="00164BD1">
        <w:rPr>
          <w:rFonts w:cs="Arial"/>
          <w:sz w:val="36"/>
          <w:szCs w:val="40"/>
          <w:lang w:val="en"/>
        </w:rPr>
        <w:t xml:space="preserve"> Analysis shows that 19 percent of</w:t>
      </w:r>
      <w:r w:rsidR="00276094" w:rsidRPr="00164BD1">
        <w:rPr>
          <w:rFonts w:cs="Arial"/>
          <w:sz w:val="36"/>
          <w:szCs w:val="40"/>
          <w:lang w:val="en"/>
        </w:rPr>
        <w:t xml:space="preserve"> people</w:t>
      </w:r>
      <w:r w:rsidRPr="00164BD1">
        <w:rPr>
          <w:rFonts w:cs="Arial"/>
          <w:sz w:val="36"/>
          <w:szCs w:val="40"/>
          <w:lang w:val="en"/>
        </w:rPr>
        <w:t xml:space="preserve"> with disabilities live in areas that are considered hard-to-count.</w:t>
      </w:r>
      <w:r w:rsidRPr="00164BD1">
        <w:rPr>
          <w:rFonts w:cs="Arial"/>
          <w:sz w:val="36"/>
          <w:szCs w:val="40"/>
          <w:vertAlign w:val="superscript"/>
          <w:lang w:val="en"/>
        </w:rPr>
        <w:endnoteReference w:id="27"/>
      </w:r>
      <w:r w:rsidRPr="00164BD1">
        <w:rPr>
          <w:rFonts w:cs="Arial"/>
          <w:sz w:val="36"/>
          <w:szCs w:val="40"/>
          <w:lang w:val="en"/>
        </w:rPr>
        <w:t xml:space="preserve"> In at least six US states, such as New Mexico and Alaska, a third or more of people with disabilities live in areas considered hard-to-count.</w:t>
      </w:r>
      <w:r w:rsidRPr="00164BD1">
        <w:rPr>
          <w:rFonts w:cs="Arial"/>
          <w:sz w:val="36"/>
          <w:szCs w:val="40"/>
          <w:vertAlign w:val="superscript"/>
          <w:lang w:val="en"/>
        </w:rPr>
        <w:endnoteReference w:id="28"/>
      </w:r>
    </w:p>
    <w:p w:rsidR="00E878A2" w:rsidRPr="006C527B" w:rsidRDefault="00E878A2" w:rsidP="00220813">
      <w:pPr>
        <w:spacing w:after="0" w:line="240" w:lineRule="auto"/>
        <w:rPr>
          <w:rFonts w:cs="Arial"/>
          <w:bCs/>
          <w:iCs/>
          <w:sz w:val="36"/>
          <w:szCs w:val="40"/>
          <w:lang w:val="en"/>
        </w:rPr>
      </w:pPr>
    </w:p>
    <w:p w:rsidR="00E878A2" w:rsidRPr="00164BD1" w:rsidRDefault="00525B54" w:rsidP="00164BD1">
      <w:pPr>
        <w:pStyle w:val="Heading3"/>
        <w:rPr>
          <w:rFonts w:asciiTheme="minorHAnsi" w:hAnsiTheme="minorHAnsi"/>
          <w:color w:val="auto"/>
          <w:sz w:val="36"/>
          <w:szCs w:val="40"/>
          <w:lang w:val="en"/>
        </w:rPr>
      </w:pPr>
      <w:r w:rsidRPr="00164BD1">
        <w:rPr>
          <w:rFonts w:asciiTheme="minorHAnsi" w:hAnsiTheme="minorHAnsi"/>
          <w:i/>
          <w:iCs/>
          <w:color w:val="auto"/>
          <w:sz w:val="36"/>
          <w:szCs w:val="40"/>
          <w:lang w:val="en"/>
        </w:rPr>
        <w:t>Figure 1.</w:t>
      </w:r>
      <w:r w:rsidRPr="00164BD1">
        <w:rPr>
          <w:rFonts w:asciiTheme="minorHAnsi" w:hAnsiTheme="minorHAnsi"/>
          <w:color w:val="auto"/>
          <w:sz w:val="36"/>
          <w:szCs w:val="40"/>
          <w:lang w:val="en"/>
        </w:rPr>
        <w:t xml:space="preserve"> Nearly One </w:t>
      </w:r>
      <w:r w:rsidR="00642A05" w:rsidRPr="00164BD1">
        <w:rPr>
          <w:rFonts w:asciiTheme="minorHAnsi" w:hAnsiTheme="minorHAnsi"/>
          <w:color w:val="auto"/>
          <w:sz w:val="36"/>
          <w:szCs w:val="40"/>
          <w:lang w:val="en"/>
        </w:rPr>
        <w:t>in</w:t>
      </w:r>
      <w:r w:rsidRPr="00164BD1">
        <w:rPr>
          <w:rFonts w:asciiTheme="minorHAnsi" w:hAnsiTheme="minorHAnsi"/>
          <w:color w:val="auto"/>
          <w:sz w:val="36"/>
          <w:szCs w:val="40"/>
          <w:lang w:val="en"/>
        </w:rPr>
        <w:t xml:space="preserve"> Five People with Disabilities Live in Areas Considered Hard-to-Count (Select States) </w:t>
      </w:r>
    </w:p>
    <w:p w:rsidR="00642A05" w:rsidRPr="00164BD1" w:rsidRDefault="00642A05" w:rsidP="00220813">
      <w:pPr>
        <w:spacing w:after="0" w:line="240" w:lineRule="auto"/>
        <w:rPr>
          <w:rFonts w:cs="Arial"/>
          <w:b/>
          <w:bCs/>
          <w:sz w:val="36"/>
          <w:szCs w:val="40"/>
          <w:lang w:val="en"/>
        </w:rPr>
      </w:pPr>
    </w:p>
    <w:p w:rsidR="00525B54" w:rsidRPr="006B7A35" w:rsidRDefault="00525B54" w:rsidP="00220813">
      <w:pPr>
        <w:spacing w:after="0" w:line="240" w:lineRule="auto"/>
        <w:jc w:val="center"/>
        <w:rPr>
          <w:rFonts w:cs="Arial"/>
          <w:b/>
          <w:sz w:val="40"/>
          <w:szCs w:val="40"/>
          <w:lang w:val="en"/>
        </w:rPr>
      </w:pPr>
      <w:r w:rsidRPr="006B7A35">
        <w:rPr>
          <w:rFonts w:cs="Arial"/>
          <w:noProof/>
          <w:sz w:val="40"/>
          <w:szCs w:val="40"/>
        </w:rPr>
        <w:drawing>
          <wp:inline distT="0" distB="0" distL="0" distR="0" wp14:anchorId="50C73E81" wp14:editId="06B5BB73">
            <wp:extent cx="6505215" cy="3083441"/>
            <wp:effectExtent l="0" t="0" r="0" b="3175"/>
            <wp:docPr id="9" name="Chart 9" descr="Bar chart depicting the percent of people with disabilities living in HTC tracts in five US states including New Mexico (52.0%), Alaska (47.0%), Oklahoma (38.8%), Lousiana (36.8%) and New York (35.5%). " title="Percent of People with Disabilities Living in HTC Tract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42A05" w:rsidRPr="006B7A35" w:rsidRDefault="00642A05" w:rsidP="00220813">
      <w:pPr>
        <w:spacing w:after="0" w:line="240" w:lineRule="auto"/>
        <w:rPr>
          <w:rFonts w:cs="Arial"/>
          <w:sz w:val="40"/>
          <w:szCs w:val="40"/>
          <w:lang w:val="en"/>
        </w:rPr>
      </w:pPr>
    </w:p>
    <w:p w:rsidR="006B7A35" w:rsidRPr="00164BD1" w:rsidRDefault="00525B54" w:rsidP="006B7A35">
      <w:pPr>
        <w:spacing w:after="0" w:line="240" w:lineRule="auto"/>
        <w:rPr>
          <w:i/>
          <w:iCs/>
          <w:sz w:val="36"/>
          <w:szCs w:val="40"/>
          <w:lang w:val="en"/>
        </w:rPr>
      </w:pPr>
      <w:r w:rsidRPr="00164BD1">
        <w:rPr>
          <w:rStyle w:val="SubtleEmphasis"/>
          <w:color w:val="auto"/>
          <w:sz w:val="36"/>
          <w:szCs w:val="40"/>
          <w:lang w:val="en"/>
        </w:rPr>
        <w:lastRenderedPageBreak/>
        <w:t>An area is defined as hard-to-count either if households in the area were counted by the bureau solely through the update/enumerate operation or if its mail return rate for the 2010 Census was 73 percent or less. Figures only refer to the total civilian non-institutionalized population of people with disabilities. Source: Georgetown Center on Poverty and Inequality and National Disability Rights Network, 2019. Authors’ calculations using U.S. Census Bureau, American Community Survey 5-year Estimates 2017, and the CUNY Center for Urban Research, Hard-to-Count map data, 2019.</w:t>
      </w:r>
    </w:p>
    <w:p w:rsidR="006B7A35" w:rsidRPr="006C527B" w:rsidRDefault="006B7A35" w:rsidP="00164BD1">
      <w:pPr>
        <w:pStyle w:val="Heading1"/>
        <w:rPr>
          <w:b w:val="0"/>
          <w:sz w:val="36"/>
        </w:rPr>
      </w:pPr>
      <w:bookmarkStart w:id="6" w:name="_1t3h5sf" w:colFirst="0" w:colLast="0"/>
      <w:bookmarkEnd w:id="6"/>
    </w:p>
    <w:p w:rsidR="00525B54" w:rsidRPr="006B7A35" w:rsidRDefault="00525B54" w:rsidP="00164BD1">
      <w:pPr>
        <w:pStyle w:val="Heading1"/>
      </w:pPr>
      <w:r w:rsidRPr="006B7A35">
        <w:t xml:space="preserve">FEDERALLY-FUNDED PROGRAMS GUIDED BY THE CENSUS </w:t>
      </w:r>
    </w:p>
    <w:p w:rsidR="00525B54" w:rsidRPr="00164BD1" w:rsidRDefault="00525B54" w:rsidP="00220813">
      <w:pPr>
        <w:spacing w:after="0" w:line="240" w:lineRule="auto"/>
        <w:rPr>
          <w:rFonts w:cs="Arial"/>
          <w:sz w:val="36"/>
          <w:szCs w:val="40"/>
          <w:lang w:val="en"/>
        </w:rPr>
      </w:pPr>
      <w:bookmarkStart w:id="7" w:name="_4d34og8" w:colFirst="0" w:colLast="0"/>
      <w:bookmarkEnd w:id="7"/>
      <w:r w:rsidRPr="00164BD1">
        <w:rPr>
          <w:rFonts w:cs="Arial"/>
          <w:sz w:val="36"/>
          <w:szCs w:val="40"/>
          <w:lang w:val="en"/>
        </w:rPr>
        <w:t>Federal programs play a crucial role in protecting the political, socio-cultural, and economic rights of all people living in the United States, including people with disabilities. A fair and accurate census count is essential for the appropriate allocation of funding and strategic decision-making regarding these programs. Programs that rely on census data include</w:t>
      </w:r>
      <w:r w:rsidRPr="00164BD1">
        <w:rPr>
          <w:rFonts w:cs="Arial"/>
          <w:b/>
          <w:bCs/>
          <w:sz w:val="36"/>
          <w:szCs w:val="40"/>
          <w:lang w:val="en"/>
        </w:rPr>
        <w:t xml:space="preserve"> </w:t>
      </w:r>
      <w:r w:rsidRPr="00164BD1">
        <w:rPr>
          <w:rFonts w:cs="Arial"/>
          <w:sz w:val="36"/>
          <w:szCs w:val="40"/>
          <w:lang w:val="en"/>
        </w:rPr>
        <w:t>the following (all dollar figures are for FY 2019):</w:t>
      </w:r>
      <w:r w:rsidRPr="00164BD1">
        <w:rPr>
          <w:rFonts w:cs="Arial"/>
          <w:sz w:val="36"/>
          <w:szCs w:val="40"/>
          <w:vertAlign w:val="superscript"/>
          <w:lang w:val="en"/>
        </w:rPr>
        <w:endnoteReference w:id="29"/>
      </w:r>
      <w:bookmarkStart w:id="8" w:name="_lkyoohh1px3e" w:colFirst="0" w:colLast="0"/>
      <w:bookmarkEnd w:id="8"/>
    </w:p>
    <w:p w:rsidR="00525B54" w:rsidRPr="006C527B" w:rsidRDefault="00525B54" w:rsidP="00220813">
      <w:pPr>
        <w:spacing w:after="0" w:line="240" w:lineRule="auto"/>
        <w:rPr>
          <w:rFonts w:cs="Arial"/>
          <w:sz w:val="36"/>
          <w:szCs w:val="40"/>
          <w:lang w:val="en"/>
        </w:rPr>
      </w:pPr>
    </w:p>
    <w:p w:rsidR="00525B54" w:rsidRPr="006B7A35" w:rsidRDefault="00525B54" w:rsidP="00220813">
      <w:pPr>
        <w:pStyle w:val="Heading2"/>
        <w:rPr>
          <w:rFonts w:asciiTheme="minorHAnsi" w:hAnsiTheme="minorHAnsi"/>
          <w:color w:val="auto"/>
          <w:sz w:val="40"/>
          <w:szCs w:val="40"/>
          <w:lang w:val="en"/>
        </w:rPr>
      </w:pPr>
      <w:r w:rsidRPr="006B7A35">
        <w:rPr>
          <w:rFonts w:asciiTheme="minorHAnsi" w:hAnsiTheme="minorHAnsi"/>
          <w:color w:val="auto"/>
          <w:sz w:val="40"/>
          <w:szCs w:val="40"/>
          <w:lang w:val="en"/>
        </w:rPr>
        <w:t>Civil Rights and Advocacy:</w:t>
      </w:r>
    </w:p>
    <w:p w:rsidR="00525B54" w:rsidRPr="006C527B" w:rsidRDefault="00525B54" w:rsidP="00220813">
      <w:pPr>
        <w:pStyle w:val="ListParagraph"/>
        <w:numPr>
          <w:ilvl w:val="0"/>
          <w:numId w:val="7"/>
        </w:numPr>
        <w:spacing w:after="0" w:line="240" w:lineRule="auto"/>
        <w:rPr>
          <w:rFonts w:cs="Arial"/>
          <w:sz w:val="36"/>
          <w:szCs w:val="40"/>
          <w:lang w:val="en"/>
        </w:rPr>
      </w:pPr>
      <w:r w:rsidRPr="006C527B">
        <w:rPr>
          <w:rFonts w:cs="Arial"/>
          <w:b/>
          <w:sz w:val="36"/>
          <w:szCs w:val="40"/>
          <w:lang w:val="en"/>
        </w:rPr>
        <w:t>Protection and Advocacy Systems ($155 million)</w:t>
      </w:r>
      <w:r w:rsidRPr="006C527B">
        <w:rPr>
          <w:rFonts w:cs="Arial"/>
          <w:sz w:val="36"/>
          <w:szCs w:val="40"/>
          <w:lang w:val="en"/>
        </w:rPr>
        <w:t>:</w:t>
      </w:r>
      <w:r w:rsidRPr="006C527B">
        <w:rPr>
          <w:b/>
          <w:sz w:val="36"/>
          <w:szCs w:val="40"/>
          <w:vertAlign w:val="superscript"/>
          <w:lang w:val="en"/>
        </w:rPr>
        <w:endnoteReference w:id="30"/>
      </w:r>
      <w:r w:rsidRPr="006C527B">
        <w:rPr>
          <w:rFonts w:cs="Arial"/>
          <w:sz w:val="36"/>
          <w:szCs w:val="40"/>
          <w:lang w:val="en"/>
        </w:rPr>
        <w:t xml:space="preserve"> The Protection and Advocacy (P&amp;A) program provides legal, administrative, and other services to people with disabilities. The program’s purpose is to protect the civil and political rights of people with disabilities. P&amp;As work in all 50 US states, the District of Columbia, Puerto Rico, and the US territories. There is a P&amp;A affiliated with the Native American Consortium which </w:t>
      </w:r>
      <w:r w:rsidRPr="006C527B">
        <w:rPr>
          <w:rFonts w:cs="Arial"/>
          <w:sz w:val="36"/>
          <w:szCs w:val="40"/>
          <w:lang w:val="en"/>
        </w:rPr>
        <w:lastRenderedPageBreak/>
        <w:t xml:space="preserve">includes the Hopi, Navajo and San Juan Southern Paiute Nations in the Four Corners region of the Southwest. </w:t>
      </w:r>
    </w:p>
    <w:p w:rsidR="00642A05" w:rsidRPr="006C527B" w:rsidRDefault="00525B54" w:rsidP="00220813">
      <w:pPr>
        <w:pStyle w:val="ListParagraph"/>
        <w:numPr>
          <w:ilvl w:val="0"/>
          <w:numId w:val="7"/>
        </w:numPr>
        <w:spacing w:after="0" w:line="240" w:lineRule="auto"/>
        <w:rPr>
          <w:rFonts w:cs="Arial"/>
          <w:sz w:val="36"/>
          <w:szCs w:val="40"/>
          <w:lang w:val="en"/>
        </w:rPr>
      </w:pPr>
      <w:r w:rsidRPr="006C527B">
        <w:rPr>
          <w:rFonts w:cs="Arial"/>
          <w:b/>
          <w:sz w:val="36"/>
          <w:szCs w:val="40"/>
          <w:lang w:val="en"/>
        </w:rPr>
        <w:t>State Councils on Developmental Disabilities ($75 million)</w:t>
      </w:r>
      <w:r w:rsidRPr="006C527B">
        <w:rPr>
          <w:rFonts w:cs="Arial"/>
          <w:sz w:val="36"/>
          <w:szCs w:val="40"/>
          <w:lang w:val="en"/>
        </w:rPr>
        <w:t>:</w:t>
      </w:r>
      <w:r w:rsidRPr="006C527B">
        <w:rPr>
          <w:b/>
          <w:sz w:val="36"/>
          <w:szCs w:val="40"/>
          <w:vertAlign w:val="superscript"/>
          <w:lang w:val="en"/>
        </w:rPr>
        <w:endnoteReference w:id="31"/>
      </w:r>
      <w:r w:rsidRPr="006C527B">
        <w:rPr>
          <w:rFonts w:cs="Arial"/>
          <w:sz w:val="36"/>
          <w:szCs w:val="40"/>
          <w:lang w:val="en"/>
        </w:rPr>
        <w:t xml:space="preserve"> State Councils on Developmental Disabilities (SSDD) identify and address the needs of people with developmental disabilities in all 50 US states, the District of Columbia, Puerto Rico, and US territories.</w:t>
      </w:r>
      <w:r w:rsidRPr="006C527B">
        <w:rPr>
          <w:sz w:val="36"/>
          <w:szCs w:val="40"/>
          <w:vertAlign w:val="superscript"/>
          <w:lang w:val="en"/>
        </w:rPr>
        <w:endnoteReference w:id="32"/>
      </w:r>
      <w:r w:rsidRPr="006C527B">
        <w:rPr>
          <w:rFonts w:cs="Arial"/>
          <w:sz w:val="36"/>
          <w:szCs w:val="40"/>
          <w:lang w:val="en"/>
        </w:rPr>
        <w:t xml:space="preserve"> </w:t>
      </w:r>
    </w:p>
    <w:p w:rsidR="00525B54" w:rsidRPr="006C527B" w:rsidRDefault="00525B54" w:rsidP="00220813">
      <w:pPr>
        <w:pStyle w:val="ListParagraph"/>
        <w:numPr>
          <w:ilvl w:val="0"/>
          <w:numId w:val="7"/>
        </w:numPr>
        <w:spacing w:after="0" w:line="240" w:lineRule="auto"/>
        <w:rPr>
          <w:rFonts w:cs="Arial"/>
          <w:sz w:val="36"/>
          <w:szCs w:val="40"/>
          <w:lang w:val="en"/>
        </w:rPr>
      </w:pPr>
      <w:r w:rsidRPr="006C527B">
        <w:rPr>
          <w:rFonts w:cs="Arial"/>
          <w:b/>
          <w:sz w:val="36"/>
          <w:szCs w:val="40"/>
          <w:lang w:val="en"/>
        </w:rPr>
        <w:t>Statewide Independent Living Council ($24.5 million)</w:t>
      </w:r>
      <w:r w:rsidRPr="006C527B">
        <w:rPr>
          <w:rFonts w:cs="Arial"/>
          <w:sz w:val="36"/>
          <w:szCs w:val="40"/>
          <w:lang w:val="en"/>
        </w:rPr>
        <w:t>:</w:t>
      </w:r>
      <w:r w:rsidRPr="006C527B">
        <w:rPr>
          <w:sz w:val="36"/>
          <w:szCs w:val="40"/>
          <w:vertAlign w:val="superscript"/>
          <w:lang w:val="en"/>
        </w:rPr>
        <w:endnoteReference w:id="33"/>
      </w:r>
      <w:r w:rsidRPr="006C527B">
        <w:rPr>
          <w:rFonts w:cs="Arial"/>
          <w:b/>
          <w:sz w:val="36"/>
          <w:szCs w:val="40"/>
          <w:lang w:val="en"/>
        </w:rPr>
        <w:t xml:space="preserve"> </w:t>
      </w:r>
      <w:r w:rsidRPr="006C527B">
        <w:rPr>
          <w:rFonts w:cs="Arial"/>
          <w:sz w:val="36"/>
          <w:szCs w:val="40"/>
          <w:lang w:val="en"/>
        </w:rPr>
        <w:t>Statewide Independent Living Councils (SILCs) are community-based organizations that provide independent living services for people with disabilities. SILC work in all 50 US states and US territory.</w:t>
      </w:r>
    </w:p>
    <w:p w:rsidR="00642A05" w:rsidRPr="006C527B" w:rsidRDefault="00642A05" w:rsidP="00220813">
      <w:pPr>
        <w:spacing w:after="0" w:line="240" w:lineRule="auto"/>
        <w:rPr>
          <w:rFonts w:cs="Arial"/>
          <w:sz w:val="36"/>
          <w:szCs w:val="40"/>
          <w:lang w:val="en"/>
        </w:rPr>
      </w:pPr>
      <w:bookmarkStart w:id="9" w:name="_26in1rg" w:colFirst="0" w:colLast="0"/>
      <w:bookmarkEnd w:id="9"/>
    </w:p>
    <w:p w:rsidR="00525B54" w:rsidRPr="006B7A35" w:rsidRDefault="00525B54" w:rsidP="00220813">
      <w:pPr>
        <w:pStyle w:val="Heading2"/>
        <w:rPr>
          <w:rFonts w:asciiTheme="minorHAnsi" w:hAnsiTheme="minorHAnsi"/>
          <w:color w:val="auto"/>
          <w:sz w:val="40"/>
          <w:szCs w:val="40"/>
          <w:lang w:val="en"/>
        </w:rPr>
      </w:pPr>
      <w:r w:rsidRPr="006B7A35">
        <w:rPr>
          <w:rFonts w:asciiTheme="minorHAnsi" w:hAnsiTheme="minorHAnsi"/>
          <w:color w:val="auto"/>
          <w:sz w:val="40"/>
          <w:szCs w:val="40"/>
          <w:lang w:val="en"/>
        </w:rPr>
        <w:t>Education:</w:t>
      </w:r>
    </w:p>
    <w:p w:rsidR="00642A05" w:rsidRPr="006C527B" w:rsidRDefault="00525B54" w:rsidP="00220813">
      <w:pPr>
        <w:pStyle w:val="ListParagraph"/>
        <w:numPr>
          <w:ilvl w:val="0"/>
          <w:numId w:val="8"/>
        </w:numPr>
        <w:spacing w:after="0" w:line="240" w:lineRule="auto"/>
        <w:rPr>
          <w:rFonts w:cs="Arial"/>
          <w:sz w:val="36"/>
          <w:szCs w:val="40"/>
          <w:lang w:val="en"/>
        </w:rPr>
      </w:pPr>
      <w:r w:rsidRPr="006C527B">
        <w:rPr>
          <w:rFonts w:cs="Arial"/>
          <w:b/>
          <w:sz w:val="36"/>
          <w:szCs w:val="40"/>
          <w:lang w:val="en"/>
        </w:rPr>
        <w:t>Title I Grants to Local Educational Agencies ($15.9 billion)</w:t>
      </w:r>
      <w:r w:rsidRPr="006C527B">
        <w:rPr>
          <w:rFonts w:cs="Arial"/>
          <w:sz w:val="36"/>
          <w:szCs w:val="40"/>
          <w:lang w:val="en"/>
        </w:rPr>
        <w:t>:</w:t>
      </w:r>
      <w:r w:rsidRPr="006C527B">
        <w:rPr>
          <w:b/>
          <w:sz w:val="36"/>
          <w:szCs w:val="40"/>
          <w:vertAlign w:val="superscript"/>
          <w:lang w:val="en"/>
        </w:rPr>
        <w:endnoteReference w:id="34"/>
      </w:r>
      <w:r w:rsidRPr="006C527B">
        <w:rPr>
          <w:rFonts w:cs="Arial"/>
          <w:sz w:val="36"/>
          <w:szCs w:val="40"/>
          <w:lang w:val="en"/>
        </w:rPr>
        <w:t xml:space="preserve"> The largest federal program supporting elementary and secondary education, Title I grants are used to fund a variety of supplementary educational and related services, including services for students with disabilities.  The purpose of the program is to narrow achievement gaps through access to “a fair, equitable, and high-quality education.”</w:t>
      </w:r>
      <w:r w:rsidRPr="006C527B">
        <w:rPr>
          <w:sz w:val="36"/>
          <w:szCs w:val="40"/>
          <w:vertAlign w:val="superscript"/>
          <w:lang w:val="en"/>
        </w:rPr>
        <w:endnoteReference w:id="35"/>
      </w:r>
      <w:r w:rsidRPr="006C527B">
        <w:rPr>
          <w:rFonts w:cs="Arial"/>
          <w:sz w:val="36"/>
          <w:szCs w:val="40"/>
          <w:lang w:val="en"/>
        </w:rPr>
        <w:t xml:space="preserve"> </w:t>
      </w:r>
    </w:p>
    <w:p w:rsidR="006C527B" w:rsidRDefault="00525B54" w:rsidP="006C527B">
      <w:pPr>
        <w:pStyle w:val="ListParagraph"/>
        <w:numPr>
          <w:ilvl w:val="0"/>
          <w:numId w:val="8"/>
        </w:numPr>
        <w:spacing w:after="0" w:line="240" w:lineRule="auto"/>
        <w:rPr>
          <w:rFonts w:cs="Arial"/>
          <w:sz w:val="36"/>
          <w:szCs w:val="40"/>
          <w:lang w:val="en"/>
        </w:rPr>
      </w:pPr>
      <w:r w:rsidRPr="006C527B">
        <w:rPr>
          <w:rFonts w:cs="Arial"/>
          <w:b/>
          <w:sz w:val="36"/>
          <w:szCs w:val="40"/>
          <w:lang w:val="en"/>
        </w:rPr>
        <w:t>Education Grants to States for Students with Disabilities ($13.3 billion)</w:t>
      </w:r>
      <w:r w:rsidRPr="006C527B">
        <w:rPr>
          <w:rFonts w:cs="Arial"/>
          <w:sz w:val="36"/>
          <w:szCs w:val="40"/>
          <w:lang w:val="en"/>
        </w:rPr>
        <w:t>:</w:t>
      </w:r>
      <w:r w:rsidRPr="006C527B">
        <w:rPr>
          <w:sz w:val="36"/>
          <w:szCs w:val="40"/>
          <w:vertAlign w:val="superscript"/>
          <w:lang w:val="en"/>
        </w:rPr>
        <w:endnoteReference w:id="36"/>
      </w:r>
      <w:r w:rsidRPr="006C527B">
        <w:rPr>
          <w:rFonts w:cs="Arial"/>
          <w:sz w:val="36"/>
          <w:szCs w:val="40"/>
          <w:lang w:val="en"/>
        </w:rPr>
        <w:t xml:space="preserve"> The Individuals with Disabilities Education Act (IDEA) requires states to provide free, appropriate public education to students with disabilities. The largest component of the IDEA, Part B, specifically covers children and youth with disabilities between the ages of 3 and 21. This program ensures that over 7 million children receive education and early intervention services.</w:t>
      </w:r>
      <w:r w:rsidRPr="006C527B">
        <w:rPr>
          <w:sz w:val="36"/>
          <w:szCs w:val="40"/>
          <w:vertAlign w:val="superscript"/>
          <w:lang w:val="en"/>
        </w:rPr>
        <w:endnoteReference w:id="37"/>
      </w:r>
    </w:p>
    <w:p w:rsidR="006C527B" w:rsidRPr="006C527B" w:rsidRDefault="006C527B" w:rsidP="006C527B">
      <w:pPr>
        <w:spacing w:after="0" w:line="240" w:lineRule="auto"/>
        <w:rPr>
          <w:rFonts w:cs="Arial"/>
          <w:sz w:val="36"/>
          <w:szCs w:val="40"/>
          <w:lang w:val="en"/>
        </w:rPr>
      </w:pPr>
    </w:p>
    <w:p w:rsidR="00525B54" w:rsidRPr="006B7A35" w:rsidRDefault="00525B54" w:rsidP="00220813">
      <w:pPr>
        <w:pStyle w:val="Heading2"/>
        <w:rPr>
          <w:rFonts w:asciiTheme="minorHAnsi" w:hAnsiTheme="minorHAnsi"/>
          <w:color w:val="auto"/>
          <w:sz w:val="40"/>
          <w:szCs w:val="40"/>
          <w:lang w:val="en"/>
        </w:rPr>
      </w:pPr>
      <w:bookmarkStart w:id="10" w:name="_lnxbz9" w:colFirst="0" w:colLast="0"/>
      <w:bookmarkEnd w:id="10"/>
      <w:r w:rsidRPr="006B7A35">
        <w:rPr>
          <w:rFonts w:asciiTheme="minorHAnsi" w:hAnsiTheme="minorHAnsi"/>
          <w:color w:val="auto"/>
          <w:sz w:val="40"/>
          <w:szCs w:val="40"/>
          <w:lang w:val="en"/>
        </w:rPr>
        <w:t>Food and Nutrition:</w:t>
      </w:r>
    </w:p>
    <w:p w:rsidR="00525B54" w:rsidRPr="006C527B" w:rsidRDefault="00525B54" w:rsidP="00220813">
      <w:pPr>
        <w:pStyle w:val="ListParagraph"/>
        <w:numPr>
          <w:ilvl w:val="0"/>
          <w:numId w:val="9"/>
        </w:numPr>
        <w:spacing w:after="0" w:line="240" w:lineRule="auto"/>
        <w:rPr>
          <w:rFonts w:cs="Arial"/>
          <w:sz w:val="36"/>
          <w:szCs w:val="40"/>
          <w:lang w:val="en"/>
        </w:rPr>
      </w:pPr>
      <w:r w:rsidRPr="006C527B">
        <w:rPr>
          <w:rFonts w:cs="Arial"/>
          <w:b/>
          <w:sz w:val="36"/>
          <w:szCs w:val="40"/>
          <w:lang w:val="en"/>
        </w:rPr>
        <w:t>Supplemental Nutrition Assistance Program ($73.4 billion)</w:t>
      </w:r>
      <w:r w:rsidRPr="006C527B">
        <w:rPr>
          <w:rFonts w:cs="Arial"/>
          <w:sz w:val="36"/>
          <w:szCs w:val="40"/>
          <w:lang w:val="en"/>
        </w:rPr>
        <w:t>:</w:t>
      </w:r>
      <w:r w:rsidRPr="006C527B">
        <w:rPr>
          <w:b/>
          <w:sz w:val="36"/>
          <w:szCs w:val="40"/>
          <w:vertAlign w:val="superscript"/>
          <w:lang w:val="en"/>
        </w:rPr>
        <w:endnoteReference w:id="38"/>
      </w:r>
      <w:r w:rsidRPr="006C527B">
        <w:rPr>
          <w:rFonts w:cs="Arial"/>
          <w:sz w:val="36"/>
          <w:szCs w:val="40"/>
          <w:lang w:val="en"/>
        </w:rPr>
        <w:t xml:space="preserve"> Supplemental Nutrition Assistance Program (SNAP, formerly known as food stamps) provides food and nutrition assistance to families with low-incomes, helping families maintain a healthier food diet.</w:t>
      </w:r>
      <w:r w:rsidRPr="006C527B">
        <w:rPr>
          <w:sz w:val="36"/>
          <w:szCs w:val="40"/>
          <w:vertAlign w:val="superscript"/>
          <w:lang w:val="en"/>
        </w:rPr>
        <w:endnoteReference w:id="39"/>
      </w:r>
      <w:r w:rsidRPr="006C527B">
        <w:rPr>
          <w:rFonts w:cs="Arial"/>
          <w:sz w:val="36"/>
          <w:szCs w:val="40"/>
          <w:lang w:val="en"/>
        </w:rPr>
        <w:t xml:space="preserve"> A fifth of all SNAP households include a person with a disability.</w:t>
      </w:r>
      <w:r w:rsidRPr="006C527B">
        <w:rPr>
          <w:sz w:val="36"/>
          <w:szCs w:val="40"/>
          <w:vertAlign w:val="superscript"/>
          <w:lang w:val="en"/>
        </w:rPr>
        <w:endnoteReference w:id="40"/>
      </w:r>
    </w:p>
    <w:p w:rsidR="00632A24" w:rsidRPr="006C527B" w:rsidRDefault="00632A24" w:rsidP="00220813">
      <w:pPr>
        <w:spacing w:after="0" w:line="240" w:lineRule="auto"/>
        <w:rPr>
          <w:rFonts w:cs="Arial"/>
          <w:sz w:val="36"/>
          <w:szCs w:val="40"/>
          <w:lang w:val="en"/>
        </w:rPr>
      </w:pPr>
    </w:p>
    <w:p w:rsidR="00525B54" w:rsidRPr="006B7A35" w:rsidRDefault="00525B54" w:rsidP="00220813">
      <w:pPr>
        <w:pStyle w:val="Heading2"/>
        <w:rPr>
          <w:rFonts w:asciiTheme="minorHAnsi" w:hAnsiTheme="minorHAnsi"/>
          <w:color w:val="auto"/>
          <w:sz w:val="40"/>
          <w:szCs w:val="40"/>
          <w:lang w:val="en"/>
        </w:rPr>
      </w:pPr>
      <w:r w:rsidRPr="006B7A35">
        <w:rPr>
          <w:rFonts w:asciiTheme="minorHAnsi" w:hAnsiTheme="minorHAnsi"/>
          <w:color w:val="auto"/>
          <w:sz w:val="40"/>
          <w:szCs w:val="40"/>
          <w:lang w:val="en"/>
        </w:rPr>
        <w:t>Healthcare:</w:t>
      </w:r>
    </w:p>
    <w:p w:rsidR="00632A24" w:rsidRPr="006C527B" w:rsidRDefault="00525B54" w:rsidP="00220813">
      <w:pPr>
        <w:pStyle w:val="ListParagraph"/>
        <w:numPr>
          <w:ilvl w:val="0"/>
          <w:numId w:val="9"/>
        </w:numPr>
        <w:spacing w:after="0" w:line="240" w:lineRule="auto"/>
        <w:rPr>
          <w:rFonts w:cs="Arial"/>
          <w:i/>
          <w:sz w:val="36"/>
          <w:szCs w:val="40"/>
          <w:lang w:val="en"/>
        </w:rPr>
      </w:pPr>
      <w:r w:rsidRPr="006C527B">
        <w:rPr>
          <w:rFonts w:cs="Arial"/>
          <w:b/>
          <w:sz w:val="36"/>
          <w:szCs w:val="40"/>
          <w:lang w:val="en"/>
        </w:rPr>
        <w:t>Medicaid ($418.7 billion)</w:t>
      </w:r>
      <w:r w:rsidRPr="006C527B">
        <w:rPr>
          <w:rFonts w:cs="Arial"/>
          <w:sz w:val="36"/>
          <w:szCs w:val="40"/>
          <w:lang w:val="en"/>
        </w:rPr>
        <w:t>:</w:t>
      </w:r>
      <w:r w:rsidRPr="006C527B">
        <w:rPr>
          <w:b/>
          <w:sz w:val="36"/>
          <w:szCs w:val="40"/>
          <w:vertAlign w:val="superscript"/>
          <w:lang w:val="en"/>
        </w:rPr>
        <w:endnoteReference w:id="41"/>
      </w:r>
      <w:r w:rsidRPr="006C527B">
        <w:rPr>
          <w:rFonts w:cs="Arial"/>
          <w:b/>
          <w:sz w:val="36"/>
          <w:szCs w:val="40"/>
          <w:lang w:val="en"/>
        </w:rPr>
        <w:t xml:space="preserve"> </w:t>
      </w:r>
      <w:r w:rsidRPr="006C527B">
        <w:rPr>
          <w:rFonts w:cs="Arial"/>
          <w:sz w:val="36"/>
          <w:szCs w:val="40"/>
          <w:lang w:val="en"/>
        </w:rPr>
        <w:t>More than 11 million people with disabilities are enrolled in Medicaid.</w:t>
      </w:r>
      <w:r w:rsidRPr="006C527B">
        <w:rPr>
          <w:sz w:val="36"/>
          <w:szCs w:val="40"/>
          <w:vertAlign w:val="superscript"/>
          <w:lang w:val="en"/>
        </w:rPr>
        <w:endnoteReference w:id="42"/>
      </w:r>
      <w:r w:rsidRPr="006C527B">
        <w:rPr>
          <w:rFonts w:cs="Arial"/>
          <w:sz w:val="36"/>
          <w:szCs w:val="40"/>
          <w:lang w:val="en"/>
        </w:rPr>
        <w:t xml:space="preserve"> As the main health insurer for adults and children with disabilities, Medicaid covers services that other insurers typically do not such as attendant care and supportive housing services.</w:t>
      </w:r>
      <w:r w:rsidRPr="006C527B">
        <w:rPr>
          <w:sz w:val="36"/>
          <w:szCs w:val="40"/>
          <w:vertAlign w:val="superscript"/>
          <w:lang w:val="en"/>
        </w:rPr>
        <w:endnoteReference w:id="43"/>
      </w:r>
      <w:r w:rsidRPr="006C527B">
        <w:rPr>
          <w:rFonts w:cs="Arial"/>
          <w:sz w:val="36"/>
          <w:szCs w:val="40"/>
          <w:lang w:val="en"/>
        </w:rPr>
        <w:t xml:space="preserve"> Nearly half of all nonelderly adults with disabilities are covered under Medicaid.</w:t>
      </w:r>
      <w:r w:rsidRPr="006C527B">
        <w:rPr>
          <w:sz w:val="36"/>
          <w:szCs w:val="40"/>
          <w:vertAlign w:val="superscript"/>
          <w:lang w:val="en"/>
        </w:rPr>
        <w:endnoteReference w:id="44"/>
      </w:r>
      <w:r w:rsidRPr="006C527B">
        <w:rPr>
          <w:rFonts w:cs="Arial"/>
          <w:sz w:val="36"/>
          <w:szCs w:val="40"/>
          <w:lang w:val="en"/>
        </w:rPr>
        <w:t xml:space="preserve"> </w:t>
      </w:r>
    </w:p>
    <w:p w:rsidR="00632A24" w:rsidRPr="006C527B" w:rsidRDefault="00632A24" w:rsidP="006C527B">
      <w:pPr>
        <w:spacing w:after="0" w:line="240" w:lineRule="auto"/>
        <w:rPr>
          <w:rFonts w:cs="Arial"/>
          <w:sz w:val="36"/>
          <w:szCs w:val="40"/>
          <w:lang w:val="en"/>
        </w:rPr>
      </w:pPr>
    </w:p>
    <w:p w:rsidR="00525B54" w:rsidRPr="006B7A35" w:rsidRDefault="00525B54" w:rsidP="00220813">
      <w:pPr>
        <w:pStyle w:val="Heading2"/>
        <w:rPr>
          <w:rFonts w:asciiTheme="minorHAnsi" w:hAnsiTheme="minorHAnsi"/>
          <w:color w:val="auto"/>
          <w:sz w:val="40"/>
          <w:szCs w:val="40"/>
          <w:lang w:val="en"/>
        </w:rPr>
      </w:pPr>
      <w:bookmarkStart w:id="11" w:name="_35nkun2" w:colFirst="0" w:colLast="0"/>
      <w:bookmarkEnd w:id="11"/>
      <w:r w:rsidRPr="006B7A35">
        <w:rPr>
          <w:rFonts w:asciiTheme="minorHAnsi" w:hAnsiTheme="minorHAnsi"/>
          <w:color w:val="auto"/>
          <w:sz w:val="40"/>
          <w:szCs w:val="40"/>
          <w:lang w:val="en"/>
        </w:rPr>
        <w:t>Housing:</w:t>
      </w:r>
    </w:p>
    <w:p w:rsidR="00525B54" w:rsidRPr="006C527B" w:rsidRDefault="00525B54" w:rsidP="00220813">
      <w:pPr>
        <w:pStyle w:val="ListParagraph"/>
        <w:numPr>
          <w:ilvl w:val="0"/>
          <w:numId w:val="9"/>
        </w:numPr>
        <w:spacing w:after="0" w:line="240" w:lineRule="auto"/>
        <w:rPr>
          <w:rFonts w:cs="Arial"/>
          <w:sz w:val="36"/>
          <w:szCs w:val="40"/>
          <w:lang w:val="en"/>
        </w:rPr>
      </w:pPr>
      <w:r w:rsidRPr="006C527B">
        <w:rPr>
          <w:rFonts w:cs="Arial"/>
          <w:b/>
          <w:sz w:val="36"/>
          <w:szCs w:val="40"/>
          <w:lang w:val="en"/>
        </w:rPr>
        <w:t>Section 811 Supportive Housing for Persons with Disabilities ($230 million)</w:t>
      </w:r>
      <w:r w:rsidRPr="006C527B">
        <w:rPr>
          <w:rFonts w:cs="Arial"/>
          <w:sz w:val="36"/>
          <w:szCs w:val="40"/>
          <w:lang w:val="en"/>
        </w:rPr>
        <w:t>:</w:t>
      </w:r>
      <w:r w:rsidRPr="006C527B">
        <w:rPr>
          <w:b/>
          <w:sz w:val="36"/>
          <w:szCs w:val="40"/>
          <w:vertAlign w:val="superscript"/>
          <w:lang w:val="en"/>
        </w:rPr>
        <w:endnoteReference w:id="45"/>
      </w:r>
      <w:r w:rsidRPr="006C527B">
        <w:rPr>
          <w:rFonts w:cs="Arial"/>
          <w:b/>
          <w:sz w:val="36"/>
          <w:szCs w:val="40"/>
          <w:lang w:val="en"/>
        </w:rPr>
        <w:t xml:space="preserve"> </w:t>
      </w:r>
      <w:r w:rsidRPr="006C527B">
        <w:rPr>
          <w:rFonts w:cs="Arial"/>
          <w:sz w:val="36"/>
          <w:szCs w:val="40"/>
          <w:lang w:val="en"/>
        </w:rPr>
        <w:t>As the Department of Housing and Urban Development’s only program for non-elderly people with disabilities, Section 811 Supportive Housing for Persons with Disabilities program funds the development of affordable, accessible rental housing.</w:t>
      </w:r>
      <w:r w:rsidRPr="006C527B">
        <w:rPr>
          <w:sz w:val="36"/>
          <w:szCs w:val="40"/>
          <w:vertAlign w:val="superscript"/>
          <w:lang w:val="en"/>
        </w:rPr>
        <w:endnoteReference w:id="46"/>
      </w:r>
      <w:r w:rsidRPr="006C527B">
        <w:rPr>
          <w:rFonts w:cs="Arial"/>
          <w:sz w:val="36"/>
          <w:szCs w:val="40"/>
          <w:lang w:val="en"/>
        </w:rPr>
        <w:t xml:space="preserve">  </w:t>
      </w:r>
    </w:p>
    <w:p w:rsidR="00632A24" w:rsidRPr="006C527B" w:rsidRDefault="00632A24" w:rsidP="006C527B">
      <w:pPr>
        <w:spacing w:after="0" w:line="240" w:lineRule="auto"/>
        <w:ind w:left="360"/>
        <w:rPr>
          <w:rFonts w:cs="Arial"/>
          <w:sz w:val="36"/>
          <w:szCs w:val="40"/>
          <w:lang w:val="en"/>
        </w:rPr>
      </w:pPr>
    </w:p>
    <w:p w:rsidR="00525B54" w:rsidRPr="006B7A35" w:rsidRDefault="00525B54" w:rsidP="00220813">
      <w:pPr>
        <w:pStyle w:val="Heading2"/>
        <w:rPr>
          <w:rFonts w:asciiTheme="minorHAnsi" w:hAnsiTheme="minorHAnsi"/>
          <w:color w:val="auto"/>
          <w:sz w:val="40"/>
          <w:szCs w:val="40"/>
          <w:lang w:val="en"/>
        </w:rPr>
      </w:pPr>
      <w:bookmarkStart w:id="12" w:name="_1ksv4uv" w:colFirst="0" w:colLast="0"/>
      <w:bookmarkEnd w:id="12"/>
      <w:r w:rsidRPr="006B7A35">
        <w:rPr>
          <w:rFonts w:asciiTheme="minorHAnsi" w:hAnsiTheme="minorHAnsi"/>
          <w:color w:val="auto"/>
          <w:sz w:val="40"/>
          <w:szCs w:val="40"/>
          <w:lang w:val="en"/>
        </w:rPr>
        <w:lastRenderedPageBreak/>
        <w:t xml:space="preserve">Employment: </w:t>
      </w:r>
    </w:p>
    <w:p w:rsidR="006B7A35" w:rsidRPr="006C527B" w:rsidRDefault="00525B54" w:rsidP="00164BD1">
      <w:pPr>
        <w:pStyle w:val="ListParagraph"/>
        <w:numPr>
          <w:ilvl w:val="0"/>
          <w:numId w:val="9"/>
        </w:numPr>
        <w:spacing w:after="0" w:line="240" w:lineRule="auto"/>
        <w:rPr>
          <w:rFonts w:cs="Arial"/>
          <w:b/>
          <w:sz w:val="36"/>
          <w:szCs w:val="40"/>
          <w:lang w:val="en"/>
        </w:rPr>
      </w:pPr>
      <w:bookmarkStart w:id="13" w:name="_44sinio" w:colFirst="0" w:colLast="0"/>
      <w:bookmarkEnd w:id="13"/>
      <w:r w:rsidRPr="006C527B">
        <w:rPr>
          <w:rFonts w:cs="Arial"/>
          <w:b/>
          <w:sz w:val="36"/>
          <w:szCs w:val="40"/>
          <w:lang w:val="en"/>
        </w:rPr>
        <w:t>Vocational Rehabilitation State Grants Program ($3.5 billion)</w:t>
      </w:r>
      <w:r w:rsidRPr="006C527B">
        <w:rPr>
          <w:rFonts w:cs="Arial"/>
          <w:sz w:val="36"/>
          <w:szCs w:val="40"/>
          <w:lang w:val="en"/>
        </w:rPr>
        <w:t>:</w:t>
      </w:r>
      <w:r w:rsidRPr="006C527B">
        <w:rPr>
          <w:b/>
          <w:sz w:val="36"/>
          <w:szCs w:val="40"/>
          <w:vertAlign w:val="superscript"/>
          <w:lang w:val="en"/>
        </w:rPr>
        <w:endnoteReference w:id="47"/>
      </w:r>
      <w:r w:rsidRPr="006C527B">
        <w:rPr>
          <w:rFonts w:cs="Arial"/>
          <w:sz w:val="36"/>
          <w:szCs w:val="40"/>
          <w:lang w:val="en"/>
        </w:rPr>
        <w:t xml:space="preserve">  Vocational Rehabilitation (VR) programs provide services for people with disabilities pursuing employment opportunities. Provided services include vocational training, counseling, supported employment, and post-employment assistance.</w:t>
      </w:r>
      <w:r w:rsidRPr="006C527B">
        <w:rPr>
          <w:sz w:val="36"/>
          <w:szCs w:val="40"/>
          <w:vertAlign w:val="superscript"/>
          <w:lang w:val="en"/>
        </w:rPr>
        <w:endnoteReference w:id="48"/>
      </w:r>
      <w:r w:rsidRPr="006C527B">
        <w:rPr>
          <w:rFonts w:cs="Arial"/>
          <w:sz w:val="36"/>
          <w:szCs w:val="40"/>
          <w:lang w:val="en"/>
        </w:rPr>
        <w:t xml:space="preserve"> In 2019, 170,000 people with disabilities were employed with the support of VR programs.</w:t>
      </w:r>
      <w:r w:rsidRPr="006C527B">
        <w:rPr>
          <w:sz w:val="36"/>
          <w:szCs w:val="40"/>
          <w:vertAlign w:val="superscript"/>
          <w:lang w:val="en"/>
        </w:rPr>
        <w:endnoteReference w:id="49"/>
      </w:r>
    </w:p>
    <w:p w:rsidR="006C527B" w:rsidRPr="006C527B" w:rsidRDefault="006C527B" w:rsidP="006C527B">
      <w:pPr>
        <w:spacing w:after="0" w:line="240" w:lineRule="auto"/>
        <w:rPr>
          <w:rFonts w:cs="Arial"/>
          <w:sz w:val="36"/>
          <w:szCs w:val="40"/>
          <w:lang w:val="en"/>
        </w:rPr>
      </w:pPr>
    </w:p>
    <w:p w:rsidR="00220813" w:rsidRPr="006B7A35" w:rsidRDefault="00525B54" w:rsidP="006C527B">
      <w:pPr>
        <w:pStyle w:val="Heading1"/>
      </w:pPr>
      <w:r w:rsidRPr="006B7A35">
        <w:t xml:space="preserve">WHAT CAN YOU DO TO ENSURE A MORE ACCURATE COUNT OF PEOPLE WITH DISABILITIES? </w:t>
      </w:r>
    </w:p>
    <w:p w:rsidR="00642A05" w:rsidRPr="006C527B" w:rsidRDefault="00525B54" w:rsidP="00220813">
      <w:pPr>
        <w:pStyle w:val="ListParagraph"/>
        <w:numPr>
          <w:ilvl w:val="0"/>
          <w:numId w:val="10"/>
        </w:numPr>
        <w:spacing w:after="0" w:line="240" w:lineRule="auto"/>
        <w:rPr>
          <w:rFonts w:cs="Arial"/>
          <w:sz w:val="36"/>
          <w:szCs w:val="36"/>
          <w:lang w:val="en"/>
        </w:rPr>
      </w:pPr>
      <w:r w:rsidRPr="006C527B">
        <w:rPr>
          <w:rFonts w:cs="Arial"/>
          <w:b/>
          <w:sz w:val="36"/>
          <w:szCs w:val="36"/>
          <w:lang w:val="en"/>
        </w:rPr>
        <w:t>Become a 2020 Census “partner” and help ensure that the Census Bureau’s Partnership Program gets the funding it needs.</w:t>
      </w:r>
      <w:r w:rsidRPr="006C527B">
        <w:rPr>
          <w:rFonts w:cs="Arial"/>
          <w:sz w:val="36"/>
          <w:szCs w:val="36"/>
          <w:lang w:val="en"/>
        </w:rPr>
        <w:t xml:space="preserve"> Budget shortfalls are putting this important program at risk. Partners get timely updates about 2020 Census operations, as well as promotional and educational materials (</w:t>
      </w:r>
      <w:hyperlink r:id="rId9">
        <w:r w:rsidRPr="006C527B">
          <w:rPr>
            <w:rStyle w:val="Hyperlink"/>
            <w:sz w:val="36"/>
            <w:szCs w:val="36"/>
          </w:rPr>
          <w:t>census.gov/partners</w:t>
        </w:r>
      </w:hyperlink>
      <w:r w:rsidRPr="006C527B">
        <w:rPr>
          <w:rFonts w:cs="Arial"/>
          <w:sz w:val="36"/>
          <w:szCs w:val="36"/>
          <w:lang w:val="en"/>
        </w:rPr>
        <w:t>). Organizations, associations, state and local governments can all become 2020 Census partners.</w:t>
      </w:r>
    </w:p>
    <w:p w:rsidR="00642A05" w:rsidRPr="006C527B" w:rsidRDefault="00525B54" w:rsidP="00220813">
      <w:pPr>
        <w:pStyle w:val="ListParagraph"/>
        <w:numPr>
          <w:ilvl w:val="0"/>
          <w:numId w:val="10"/>
        </w:numPr>
        <w:spacing w:after="0" w:line="240" w:lineRule="auto"/>
        <w:rPr>
          <w:rFonts w:cs="Arial"/>
          <w:sz w:val="36"/>
          <w:szCs w:val="36"/>
          <w:lang w:val="en"/>
        </w:rPr>
      </w:pPr>
      <w:r w:rsidRPr="006C527B">
        <w:rPr>
          <w:rFonts w:cs="Arial"/>
          <w:b/>
          <w:sz w:val="36"/>
          <w:szCs w:val="36"/>
          <w:lang w:val="en"/>
        </w:rPr>
        <w:t xml:space="preserve">Directly engage people with disabilities </w:t>
      </w:r>
      <w:r w:rsidRPr="006C527B">
        <w:rPr>
          <w:rFonts w:cs="Arial"/>
          <w:sz w:val="36"/>
          <w:szCs w:val="36"/>
          <w:lang w:val="en"/>
        </w:rPr>
        <w:t>to share the importance of an accurate census and encourage participation. In particular, trusted community members can play an important role in reassuring people with disabilities, including those who are undocumented or who distrust or fear government employees. Organization may, for example, encourage and support the hiring of people with disabilities as enumerators (</w:t>
      </w:r>
      <w:hyperlink r:id="rId10">
        <w:r w:rsidRPr="006C527B">
          <w:rPr>
            <w:rStyle w:val="Hyperlink"/>
            <w:sz w:val="36"/>
            <w:szCs w:val="36"/>
          </w:rPr>
          <w:t>census.gov/about/census-careers</w:t>
        </w:r>
      </w:hyperlink>
      <w:r w:rsidRPr="006C527B">
        <w:rPr>
          <w:rFonts w:cs="Arial"/>
          <w:sz w:val="36"/>
          <w:szCs w:val="36"/>
          <w:lang w:val="en"/>
        </w:rPr>
        <w:t>).</w:t>
      </w:r>
    </w:p>
    <w:p w:rsidR="00642A05" w:rsidRPr="006C527B" w:rsidRDefault="00525B54" w:rsidP="00220813">
      <w:pPr>
        <w:pStyle w:val="ListParagraph"/>
        <w:numPr>
          <w:ilvl w:val="0"/>
          <w:numId w:val="10"/>
        </w:numPr>
        <w:spacing w:after="0" w:line="240" w:lineRule="auto"/>
        <w:rPr>
          <w:rFonts w:cs="Arial"/>
          <w:sz w:val="36"/>
          <w:szCs w:val="36"/>
          <w:lang w:val="en"/>
        </w:rPr>
      </w:pPr>
      <w:r w:rsidRPr="006C527B">
        <w:rPr>
          <w:rFonts w:cs="Arial"/>
          <w:b/>
          <w:sz w:val="36"/>
          <w:szCs w:val="36"/>
          <w:lang w:val="en"/>
        </w:rPr>
        <w:t>Form or participate in a Complete Count Committee (CCC)</w:t>
      </w:r>
      <w:r w:rsidRPr="006C527B">
        <w:rPr>
          <w:rFonts w:cs="Arial"/>
          <w:sz w:val="36"/>
          <w:szCs w:val="36"/>
          <w:lang w:val="en"/>
        </w:rPr>
        <w:t>. CCCs (</w:t>
      </w:r>
      <w:hyperlink r:id="rId11">
        <w:r w:rsidRPr="006C527B">
          <w:rPr>
            <w:rStyle w:val="Hyperlink"/>
            <w:sz w:val="36"/>
            <w:szCs w:val="36"/>
          </w:rPr>
          <w:t>census.gov/programs-surveys/decennial-census/2020-</w:t>
        </w:r>
        <w:r w:rsidRPr="006C527B">
          <w:rPr>
            <w:rStyle w:val="Hyperlink"/>
            <w:sz w:val="36"/>
            <w:szCs w:val="36"/>
          </w:rPr>
          <w:lastRenderedPageBreak/>
          <w:t>census/complete_count</w:t>
        </w:r>
      </w:hyperlink>
      <w:r w:rsidRPr="006C527B">
        <w:rPr>
          <w:rFonts w:cs="Arial"/>
          <w:sz w:val="36"/>
          <w:szCs w:val="36"/>
          <w:lang w:val="en"/>
        </w:rPr>
        <w:t>)</w:t>
      </w:r>
      <w:bookmarkStart w:id="14" w:name="_GoBack"/>
      <w:bookmarkEnd w:id="14"/>
      <w:r w:rsidRPr="006C527B">
        <w:rPr>
          <w:rFonts w:cs="Arial"/>
          <w:sz w:val="36"/>
          <w:szCs w:val="36"/>
          <w:lang w:val="en"/>
        </w:rPr>
        <w:t xml:space="preserve"> are voluntary groups that promote census participation by leveraging knowledge of the local community. CCCs can be an effective tool for organizing outreach to people with disabilities. Successful CCCs include a broad range of civic and community leaders.</w:t>
      </w:r>
    </w:p>
    <w:p w:rsidR="00642A05" w:rsidRPr="006C527B" w:rsidRDefault="00525B54" w:rsidP="00220813">
      <w:pPr>
        <w:pStyle w:val="ListParagraph"/>
        <w:numPr>
          <w:ilvl w:val="0"/>
          <w:numId w:val="10"/>
        </w:numPr>
        <w:spacing w:after="0" w:line="240" w:lineRule="auto"/>
        <w:rPr>
          <w:rFonts w:cs="Arial"/>
          <w:sz w:val="36"/>
          <w:szCs w:val="36"/>
          <w:lang w:val="en"/>
        </w:rPr>
      </w:pPr>
      <w:r w:rsidRPr="006C527B">
        <w:rPr>
          <w:rFonts w:cs="Arial"/>
          <w:b/>
          <w:sz w:val="36"/>
          <w:szCs w:val="36"/>
          <w:lang w:val="en"/>
        </w:rPr>
        <w:t>Reach out to clients, customers, family, friends and community members</w:t>
      </w:r>
      <w:r w:rsidRPr="006C527B">
        <w:rPr>
          <w:rFonts w:cs="Arial"/>
          <w:sz w:val="36"/>
          <w:szCs w:val="36"/>
          <w:lang w:val="en"/>
        </w:rPr>
        <w:t>. Make sure they know to look out for the census materials in 2020, understand the importance of being counted, and have the support they need to respond. For example, service providers such as Independent Living Centers, Protection and Advocacy Systems, and parent associations can play a vital role as trusted partners to conduct effective outreach.</w:t>
      </w:r>
    </w:p>
    <w:p w:rsidR="006B7A35" w:rsidRDefault="00525B54" w:rsidP="00164BD1">
      <w:pPr>
        <w:pStyle w:val="ListParagraph"/>
        <w:numPr>
          <w:ilvl w:val="0"/>
          <w:numId w:val="10"/>
        </w:numPr>
        <w:spacing w:after="0" w:line="240" w:lineRule="auto"/>
        <w:rPr>
          <w:rFonts w:cs="Arial"/>
          <w:sz w:val="36"/>
          <w:szCs w:val="36"/>
          <w:lang w:val="en"/>
        </w:rPr>
      </w:pPr>
      <w:r w:rsidRPr="006C527B">
        <w:rPr>
          <w:rFonts w:cs="Arial"/>
          <w:b/>
          <w:sz w:val="36"/>
          <w:szCs w:val="36"/>
          <w:lang w:val="en"/>
        </w:rPr>
        <w:t>Stay informed about key census policy and operational developments</w:t>
      </w:r>
      <w:r w:rsidRPr="006C527B">
        <w:rPr>
          <w:rFonts w:cs="Arial"/>
          <w:sz w:val="36"/>
          <w:szCs w:val="36"/>
          <w:lang w:val="en"/>
        </w:rPr>
        <w:t xml:space="preserve">. The Census Counts campaign publishes many helpful resources at </w:t>
      </w:r>
      <w:hyperlink r:id="rId12">
        <w:r w:rsidRPr="006C527B">
          <w:rPr>
            <w:rStyle w:val="Hyperlink"/>
            <w:sz w:val="36"/>
            <w:szCs w:val="36"/>
          </w:rPr>
          <w:t>censuscounts.org</w:t>
        </w:r>
      </w:hyperlink>
      <w:r w:rsidRPr="006C527B">
        <w:rPr>
          <w:rFonts w:cs="Arial"/>
          <w:sz w:val="36"/>
          <w:szCs w:val="36"/>
          <w:lang w:val="en"/>
        </w:rPr>
        <w:t xml:space="preserve">. Resources from the Georgetown Center on Poverty and Inequality and the National Disability Rights Network (NDRN) can be found at </w:t>
      </w:r>
      <w:hyperlink r:id="rId13" w:history="1">
        <w:r w:rsidR="005C240F" w:rsidRPr="006C527B">
          <w:rPr>
            <w:rStyle w:val="Hyperlink"/>
            <w:rFonts w:cs="Arial"/>
            <w:sz w:val="36"/>
            <w:szCs w:val="36"/>
            <w:lang w:val="en"/>
          </w:rPr>
          <w:t>georgetownpoverty.org/issues/democracy/census/</w:t>
        </w:r>
      </w:hyperlink>
      <w:r w:rsidR="005C240F" w:rsidRPr="006C527B">
        <w:rPr>
          <w:rFonts w:cs="Arial"/>
          <w:sz w:val="36"/>
          <w:szCs w:val="36"/>
          <w:lang w:val="en"/>
        </w:rPr>
        <w:t xml:space="preserve"> </w:t>
      </w:r>
      <w:r w:rsidRPr="006C527B">
        <w:rPr>
          <w:rFonts w:cs="Arial"/>
          <w:sz w:val="36"/>
          <w:szCs w:val="36"/>
          <w:lang w:bidi="en-US"/>
        </w:rPr>
        <w:t xml:space="preserve">and </w:t>
      </w:r>
      <w:hyperlink r:id="rId14">
        <w:r w:rsidRPr="006C527B">
          <w:rPr>
            <w:rStyle w:val="Hyperlink"/>
            <w:sz w:val="36"/>
            <w:szCs w:val="36"/>
          </w:rPr>
          <w:t>ndrn.org/issues/census-2020</w:t>
        </w:r>
      </w:hyperlink>
      <w:r w:rsidR="005C240F" w:rsidRPr="006C527B">
        <w:rPr>
          <w:rFonts w:cs="Arial"/>
          <w:sz w:val="36"/>
          <w:szCs w:val="36"/>
        </w:rPr>
        <w:t xml:space="preserve"> </w:t>
      </w:r>
      <w:r w:rsidRPr="006C527B">
        <w:rPr>
          <w:rFonts w:cs="Arial"/>
          <w:sz w:val="36"/>
          <w:szCs w:val="36"/>
          <w:lang w:val="en"/>
        </w:rPr>
        <w:t xml:space="preserve">respectively. The Census Project also provides regular updates on census-related activities in Congress and the administration at </w:t>
      </w:r>
      <w:hyperlink r:id="rId15">
        <w:r w:rsidRPr="006C527B">
          <w:rPr>
            <w:rStyle w:val="Hyperlink"/>
            <w:sz w:val="36"/>
          </w:rPr>
          <w:t>thecensusproject.org</w:t>
        </w:r>
      </w:hyperlink>
      <w:r w:rsidRPr="006C527B">
        <w:rPr>
          <w:rFonts w:cs="Arial"/>
          <w:sz w:val="36"/>
          <w:szCs w:val="36"/>
          <w:lang w:val="en"/>
        </w:rPr>
        <w:t>.</w:t>
      </w:r>
      <w:r w:rsidR="00A65951" w:rsidRPr="006C527B">
        <w:rPr>
          <w:rFonts w:cs="Arial"/>
          <w:sz w:val="36"/>
          <w:szCs w:val="36"/>
          <w:lang w:val="en"/>
        </w:rPr>
        <w:t xml:space="preserve"> </w:t>
      </w:r>
    </w:p>
    <w:p w:rsidR="006C527B" w:rsidRPr="008808C8" w:rsidRDefault="006C527B" w:rsidP="008808C8">
      <w:pPr>
        <w:rPr>
          <w:sz w:val="36"/>
          <w:szCs w:val="36"/>
        </w:rPr>
      </w:pPr>
    </w:p>
    <w:p w:rsidR="008808C8" w:rsidRPr="008808C8" w:rsidRDefault="008808C8" w:rsidP="008808C8">
      <w:pPr>
        <w:rPr>
          <w:sz w:val="36"/>
          <w:szCs w:val="36"/>
        </w:rPr>
      </w:pPr>
    </w:p>
    <w:p w:rsidR="008808C8" w:rsidRPr="008808C8" w:rsidRDefault="008808C8" w:rsidP="008808C8">
      <w:pPr>
        <w:rPr>
          <w:sz w:val="36"/>
          <w:szCs w:val="36"/>
        </w:rPr>
      </w:pPr>
    </w:p>
    <w:p w:rsidR="00A65951" w:rsidRPr="006B7A35" w:rsidRDefault="00A65951" w:rsidP="00164BD1">
      <w:pPr>
        <w:pStyle w:val="Heading1"/>
        <w:rPr>
          <w:rFonts w:cs="Arial"/>
          <w:lang w:val="en"/>
        </w:rPr>
      </w:pPr>
      <w:r w:rsidRPr="006B7A35">
        <w:rPr>
          <w:lang w:val="en"/>
        </w:rPr>
        <w:lastRenderedPageBreak/>
        <w:t xml:space="preserve">ACKNOWLEDGEMENTS </w:t>
      </w:r>
    </w:p>
    <w:p w:rsidR="00CD72EE" w:rsidRDefault="00A65951" w:rsidP="00220813">
      <w:pPr>
        <w:spacing w:after="0" w:line="240" w:lineRule="auto"/>
        <w:rPr>
          <w:rFonts w:cs="Arial"/>
          <w:sz w:val="36"/>
          <w:szCs w:val="36"/>
          <w:lang w:val="en"/>
        </w:rPr>
      </w:pPr>
      <w:r w:rsidRPr="006C527B">
        <w:rPr>
          <w:rFonts w:cs="Arial"/>
          <w:sz w:val="36"/>
          <w:szCs w:val="36"/>
          <w:lang w:val="en"/>
        </w:rPr>
        <w:t xml:space="preserve">The authors would like to acknowledge the contributions of the following individuals for their input and feedback while producing this issue brief: Indivar Dutta-Gupta, Casey Goldvale, and Christopher Brown of the Georgetown Center on Poverty and Inequality, Eric Buehlmann, Michelle Bishop, and Brian Maxwell of the National Disability Rights Network, Meghan Maury of the National LGBTQ Task Force, Bethany Lilly of The Arc, and Terri-Ann Lowenthal. </w:t>
      </w:r>
    </w:p>
    <w:p w:rsidR="00CD72EE" w:rsidRDefault="00CD72EE" w:rsidP="00220813">
      <w:pPr>
        <w:spacing w:after="0" w:line="240" w:lineRule="auto"/>
        <w:rPr>
          <w:rFonts w:cs="Arial"/>
          <w:sz w:val="36"/>
          <w:szCs w:val="36"/>
          <w:lang w:val="en"/>
        </w:rPr>
      </w:pPr>
    </w:p>
    <w:p w:rsidR="00A65951" w:rsidRPr="006C527B" w:rsidRDefault="00A65951" w:rsidP="00220813">
      <w:pPr>
        <w:spacing w:after="0" w:line="240" w:lineRule="auto"/>
        <w:rPr>
          <w:rFonts w:cs="Arial"/>
          <w:sz w:val="36"/>
          <w:szCs w:val="36"/>
          <w:lang w:val="en"/>
        </w:rPr>
      </w:pPr>
      <w:r w:rsidRPr="006C527B">
        <w:rPr>
          <w:rFonts w:cs="Arial"/>
          <w:sz w:val="36"/>
          <w:szCs w:val="36"/>
          <w:lang w:val="en"/>
        </w:rPr>
        <w:t>Please contact Jae June Lee (</w:t>
      </w:r>
      <w:hyperlink r:id="rId16" w:history="1">
        <w:r w:rsidRPr="006C527B">
          <w:rPr>
            <w:rStyle w:val="Hyperlink"/>
            <w:sz w:val="36"/>
            <w:szCs w:val="36"/>
          </w:rPr>
          <w:t>jl2435@georgetown.edu</w:t>
        </w:r>
      </w:hyperlink>
      <w:r w:rsidRPr="006C527B">
        <w:rPr>
          <w:rFonts w:cs="Arial"/>
          <w:sz w:val="36"/>
          <w:szCs w:val="36"/>
          <w:lang w:val="en"/>
        </w:rPr>
        <w:t>) and Erika Hudson (</w:t>
      </w:r>
      <w:hyperlink r:id="rId17" w:history="1">
        <w:r w:rsidRPr="006C527B">
          <w:rPr>
            <w:rStyle w:val="Hyperlink"/>
            <w:sz w:val="36"/>
            <w:szCs w:val="36"/>
          </w:rPr>
          <w:t>erika.hudson@ndrn.org</w:t>
        </w:r>
      </w:hyperlink>
      <w:r w:rsidR="00220813" w:rsidRPr="006C527B">
        <w:rPr>
          <w:rFonts w:cs="Arial"/>
          <w:sz w:val="36"/>
          <w:szCs w:val="36"/>
          <w:lang w:val="en"/>
        </w:rPr>
        <w:t>)</w:t>
      </w:r>
      <w:r w:rsidRPr="006C527B">
        <w:rPr>
          <w:rFonts w:cs="Arial"/>
          <w:sz w:val="36"/>
          <w:szCs w:val="36"/>
          <w:lang w:val="en"/>
        </w:rPr>
        <w:t xml:space="preserve"> with any questions.</w:t>
      </w:r>
    </w:p>
    <w:p w:rsidR="00A65951" w:rsidRPr="006B7A35" w:rsidRDefault="00A65951" w:rsidP="006B7A35">
      <w:pPr>
        <w:spacing w:after="0" w:line="240" w:lineRule="auto"/>
        <w:rPr>
          <w:rFonts w:cs="Arial"/>
          <w:sz w:val="40"/>
          <w:szCs w:val="40"/>
          <w:lang w:val="en"/>
        </w:rPr>
        <w:sectPr w:rsidR="00A65951" w:rsidRPr="006B7A35" w:rsidSect="00CD72EE">
          <w:footerReference w:type="default" r:id="rId18"/>
          <w:headerReference w:type="first" r:id="rId19"/>
          <w:endnotePr>
            <w:numFmt w:val="decimal"/>
          </w:endnotePr>
          <w:type w:val="continuous"/>
          <w:pgSz w:w="12240" w:h="15840"/>
          <w:pgMar w:top="1440" w:right="1080" w:bottom="1440" w:left="1080" w:header="0" w:footer="349" w:gutter="0"/>
          <w:cols w:space="720"/>
          <w:titlePg/>
          <w:docGrid w:linePitch="299"/>
        </w:sectPr>
      </w:pPr>
    </w:p>
    <w:p w:rsidR="008808C8" w:rsidRDefault="008808C8" w:rsidP="00164BD1">
      <w:pPr>
        <w:pStyle w:val="Heading1"/>
      </w:pPr>
      <w:r>
        <w:lastRenderedPageBreak/>
        <w:t>REFERENCES</w:t>
      </w:r>
      <w:r w:rsidR="00525B54" w:rsidRPr="006B7A35">
        <w:t xml:space="preserve"> </w:t>
      </w:r>
    </w:p>
    <w:p w:rsidR="0092565A" w:rsidRPr="006B7A35" w:rsidRDefault="008808C8" w:rsidP="008808C8">
      <w:pPr>
        <w:pStyle w:val="Subtitle"/>
      </w:pPr>
      <w:r>
        <w:t xml:space="preserve">The following references </w:t>
      </w:r>
      <w:r w:rsidR="00525B54" w:rsidRPr="006B7A35">
        <w:t>are listed as URLs for brevity.</w:t>
      </w:r>
    </w:p>
    <w:sectPr w:rsidR="0092565A" w:rsidRPr="006B7A35" w:rsidSect="00D45FFE">
      <w:endnotePr>
        <w:numFmt w:val="decimal"/>
      </w:endnotePr>
      <w:pgSz w:w="12240" w:h="15840"/>
      <w:pgMar w:top="1260" w:right="1080" w:bottom="1260" w:left="1080" w:header="0" w:footer="34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FCF" w:rsidRDefault="00DE5FCF" w:rsidP="000F156B">
      <w:pPr>
        <w:spacing w:after="0" w:line="240" w:lineRule="auto"/>
      </w:pPr>
      <w:r>
        <w:separator/>
      </w:r>
    </w:p>
    <w:p w:rsidR="00DE5FCF" w:rsidRDefault="00DE5FCF"/>
    <w:p w:rsidR="00DE5FCF" w:rsidRDefault="00DE5FCF" w:rsidP="00164BD1"/>
  </w:endnote>
  <w:endnote w:type="continuationSeparator" w:id="0">
    <w:p w:rsidR="00DE5FCF" w:rsidRDefault="00DE5FCF" w:rsidP="000F156B">
      <w:pPr>
        <w:spacing w:after="0" w:line="240" w:lineRule="auto"/>
      </w:pPr>
      <w:r>
        <w:continuationSeparator/>
      </w:r>
    </w:p>
    <w:p w:rsidR="00DE5FCF" w:rsidRDefault="00DE5FCF"/>
    <w:p w:rsidR="00DE5FCF" w:rsidRDefault="00DE5FCF" w:rsidP="00164BD1"/>
  </w:endnote>
  <w:endnote w:id="1">
    <w:p w:rsidR="00525B54" w:rsidRPr="00164BD1" w:rsidRDefault="00525B54" w:rsidP="008D68E4">
      <w:pPr>
        <w:pStyle w:val="EndnoteText"/>
        <w:rPr>
          <w:color w:val="328D9F"/>
          <w:sz w:val="36"/>
          <w:szCs w:val="36"/>
          <w:u w:val="single"/>
        </w:rPr>
      </w:pPr>
      <w:r w:rsidRPr="00164BD1">
        <w:rPr>
          <w:rStyle w:val="EndnoteReference"/>
          <w:sz w:val="36"/>
          <w:szCs w:val="36"/>
        </w:rPr>
        <w:endnoteRef/>
      </w:r>
      <w:r w:rsidRPr="00164BD1">
        <w:rPr>
          <w:sz w:val="36"/>
          <w:szCs w:val="36"/>
        </w:rPr>
        <w:t xml:space="preserve"> Statistic draws from CDC data on the civilian, noninstitutionalized population of people with disabilities.  </w:t>
      </w:r>
      <w:hyperlink r:id="rId1" w:history="1">
        <w:r w:rsidRPr="00164BD1">
          <w:rPr>
            <w:color w:val="328D9F"/>
            <w:sz w:val="36"/>
            <w:szCs w:val="36"/>
            <w:u w:val="single"/>
          </w:rPr>
          <w:t>https://www.cdc.gov/ncbddd/disabilityandhealth/infographic-disability-impacts-all.html</w:t>
        </w:r>
      </w:hyperlink>
    </w:p>
  </w:endnote>
  <w:endnote w:id="2">
    <w:p w:rsidR="00525B54" w:rsidRPr="00164BD1" w:rsidRDefault="00525B54" w:rsidP="008D68E4">
      <w:pPr>
        <w:pStyle w:val="EndnoteText"/>
        <w:rPr>
          <w:color w:val="0000FF"/>
          <w:sz w:val="36"/>
          <w:szCs w:val="36"/>
        </w:rPr>
      </w:pPr>
      <w:r w:rsidRPr="00164BD1">
        <w:rPr>
          <w:sz w:val="36"/>
          <w:szCs w:val="36"/>
          <w:vertAlign w:val="superscript"/>
        </w:rPr>
        <w:endnoteRef/>
      </w:r>
      <w:r w:rsidRPr="00164BD1">
        <w:rPr>
          <w:color w:val="000000"/>
          <w:sz w:val="36"/>
          <w:szCs w:val="36"/>
        </w:rPr>
        <w:t xml:space="preserve"> </w:t>
      </w:r>
      <w:hyperlink r:id="rId2">
        <w:r w:rsidRPr="00164BD1">
          <w:rPr>
            <w:color w:val="328D9F"/>
            <w:sz w:val="36"/>
            <w:szCs w:val="36"/>
            <w:u w:val="single"/>
          </w:rPr>
          <w:t>https://www2.census.gov/programs-surveys</w:t>
        </w:r>
      </w:hyperlink>
    </w:p>
  </w:endnote>
  <w:endnote w:id="3">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006C527B">
        <w:rPr>
          <w:sz w:val="36"/>
          <w:szCs w:val="36"/>
        </w:rPr>
        <w:t xml:space="preserve"> </w:t>
      </w:r>
      <w:hyperlink r:id="rId3">
        <w:r w:rsidRPr="00164BD1">
          <w:rPr>
            <w:color w:val="328D9F"/>
            <w:sz w:val="36"/>
            <w:szCs w:val="36"/>
            <w:u w:val="single"/>
          </w:rPr>
          <w:t>https://www.census.gov/content/dam/Census/library/factsheets/2019/dec/how-census-invites-everyone.pdf</w:t>
        </w:r>
      </w:hyperlink>
      <w:r w:rsidRPr="00164BD1">
        <w:rPr>
          <w:color w:val="328D9F"/>
          <w:sz w:val="36"/>
          <w:szCs w:val="36"/>
          <w:u w:val="single"/>
        </w:rPr>
        <w:t xml:space="preserve"> </w:t>
      </w:r>
    </w:p>
  </w:endnote>
  <w:endnote w:id="4">
    <w:p w:rsidR="00525B54" w:rsidRPr="00164BD1" w:rsidRDefault="00525B54" w:rsidP="008D68E4">
      <w:pPr>
        <w:pStyle w:val="EndnoteText"/>
        <w:rPr>
          <w:sz w:val="36"/>
          <w:szCs w:val="36"/>
        </w:rPr>
      </w:pPr>
      <w:r w:rsidRPr="00164BD1">
        <w:rPr>
          <w:rStyle w:val="EndnoteReference"/>
          <w:sz w:val="36"/>
          <w:szCs w:val="36"/>
        </w:rPr>
        <w:endnoteRef/>
      </w:r>
      <w:r w:rsidRPr="00164BD1">
        <w:rPr>
          <w:sz w:val="36"/>
          <w:szCs w:val="36"/>
        </w:rPr>
        <w:t xml:space="preserve"> </w:t>
      </w:r>
      <w:hyperlink r:id="rId4" w:history="1">
        <w:r w:rsidRPr="00164BD1">
          <w:rPr>
            <w:color w:val="328D9F"/>
            <w:sz w:val="36"/>
            <w:szCs w:val="36"/>
            <w:u w:val="single"/>
          </w:rPr>
          <w:t>https://www2.census.gov/programs-surveys/decennial/2020/program-management/planning-docs/2020-oper-plan4.pdf</w:t>
        </w:r>
      </w:hyperlink>
    </w:p>
  </w:endnote>
  <w:endnote w:id="5">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Email exchange with Census Bureau staff. </w:t>
      </w:r>
    </w:p>
  </w:endnote>
  <w:endnote w:id="6">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w:t>
      </w:r>
      <w:hyperlink r:id="rId5">
        <w:r w:rsidRPr="00164BD1">
          <w:rPr>
            <w:color w:val="328D9F"/>
            <w:sz w:val="36"/>
            <w:szCs w:val="36"/>
            <w:u w:val="single"/>
          </w:rPr>
          <w:t>https://www.section508.gov/manage/laws-and-policies</w:t>
        </w:r>
      </w:hyperlink>
    </w:p>
  </w:endnote>
  <w:endnote w:id="7">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w:t>
      </w:r>
      <w:hyperlink r:id="rId6">
        <w:r w:rsidRPr="00164BD1">
          <w:rPr>
            <w:color w:val="328D9F"/>
            <w:sz w:val="36"/>
            <w:szCs w:val="36"/>
            <w:u w:val="single"/>
          </w:rPr>
          <w:t>https://www2.census.gov/programs-surveys/decennial/2020/program-management/planning-docs/2020-oper-plan4.pdf</w:t>
        </w:r>
      </w:hyperlink>
    </w:p>
  </w:endnote>
  <w:endnote w:id="8">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w:t>
      </w:r>
      <w:r w:rsidRPr="00164BD1">
        <w:rPr>
          <w:sz w:val="36"/>
          <w:szCs w:val="36"/>
        </w:rPr>
        <w:t>Ibid.</w:t>
      </w:r>
    </w:p>
  </w:endnote>
  <w:endnote w:id="9">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sz w:val="36"/>
          <w:szCs w:val="36"/>
        </w:rPr>
        <w:t xml:space="preserve"> Ibid.</w:t>
      </w:r>
    </w:p>
  </w:endnote>
  <w:endnote w:id="10">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w:t>
      </w:r>
      <w:r w:rsidRPr="00164BD1">
        <w:rPr>
          <w:sz w:val="36"/>
          <w:szCs w:val="36"/>
        </w:rPr>
        <w:t>Ibid.</w:t>
      </w:r>
    </w:p>
  </w:endnote>
  <w:endnote w:id="11">
    <w:p w:rsidR="00525B54" w:rsidRPr="00164BD1" w:rsidRDefault="00525B54" w:rsidP="008D68E4">
      <w:pPr>
        <w:pBdr>
          <w:top w:val="nil"/>
          <w:left w:val="nil"/>
          <w:bottom w:val="nil"/>
          <w:right w:val="nil"/>
          <w:between w:val="nil"/>
        </w:pBdr>
        <w:spacing w:after="0" w:line="240" w:lineRule="auto"/>
        <w:rPr>
          <w:color w:val="0000FF"/>
          <w:sz w:val="36"/>
          <w:szCs w:val="36"/>
        </w:rPr>
      </w:pPr>
      <w:r w:rsidRPr="00164BD1">
        <w:rPr>
          <w:sz w:val="36"/>
          <w:szCs w:val="36"/>
          <w:vertAlign w:val="superscript"/>
        </w:rPr>
        <w:endnoteRef/>
      </w:r>
      <w:r w:rsidRPr="00164BD1">
        <w:rPr>
          <w:color w:val="000000"/>
          <w:sz w:val="36"/>
          <w:szCs w:val="36"/>
        </w:rPr>
        <w:t xml:space="preserve"> </w:t>
      </w:r>
      <w:hyperlink r:id="rId7">
        <w:r w:rsidRPr="00164BD1">
          <w:rPr>
            <w:sz w:val="36"/>
            <w:szCs w:val="36"/>
          </w:rPr>
          <w:t>Ibid.</w:t>
        </w:r>
      </w:hyperlink>
    </w:p>
  </w:endnote>
  <w:endnote w:id="12">
    <w:p w:rsidR="00525B54" w:rsidRPr="00164BD1" w:rsidRDefault="00525B54" w:rsidP="008D68E4">
      <w:pPr>
        <w:spacing w:after="0" w:line="240" w:lineRule="auto"/>
        <w:rPr>
          <w:sz w:val="36"/>
          <w:szCs w:val="36"/>
        </w:rPr>
      </w:pPr>
      <w:r w:rsidRPr="00164BD1">
        <w:rPr>
          <w:sz w:val="36"/>
          <w:szCs w:val="36"/>
          <w:vertAlign w:val="superscript"/>
        </w:rPr>
        <w:endnoteRef/>
      </w:r>
      <w:r w:rsidRPr="00164BD1">
        <w:rPr>
          <w:sz w:val="36"/>
          <w:szCs w:val="36"/>
        </w:rPr>
        <w:t xml:space="preserve"> Email exchange with Census Bureau staff.  </w:t>
      </w:r>
    </w:p>
  </w:endnote>
  <w:endnote w:id="13">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328D9F"/>
          <w:sz w:val="36"/>
          <w:szCs w:val="36"/>
        </w:rPr>
        <w:t xml:space="preserve"> </w:t>
      </w:r>
      <w:hyperlink r:id="rId8">
        <w:r w:rsidRPr="00164BD1">
          <w:rPr>
            <w:color w:val="328D9F"/>
            <w:sz w:val="36"/>
            <w:szCs w:val="36"/>
            <w:u w:val="single"/>
          </w:rPr>
          <w:t>https://www.census.gov/2018censustest/gq</w:t>
        </w:r>
      </w:hyperlink>
    </w:p>
  </w:endnote>
  <w:endnote w:id="14">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w:t>
      </w:r>
      <w:hyperlink r:id="rId9">
        <w:r w:rsidRPr="00164BD1">
          <w:rPr>
            <w:color w:val="328D9F"/>
            <w:sz w:val="36"/>
            <w:szCs w:val="36"/>
            <w:u w:val="single"/>
          </w:rPr>
          <w:t>https://www2.census.gov/programs-surveys/decennial/2020/program-management/planning-docs/2020-oper-plan4.pdf</w:t>
        </w:r>
      </w:hyperlink>
    </w:p>
  </w:endnote>
  <w:endnote w:id="15">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328D9F"/>
          <w:sz w:val="36"/>
          <w:szCs w:val="36"/>
        </w:rPr>
        <w:t xml:space="preserve"> </w:t>
      </w:r>
      <w:hyperlink r:id="rId10">
        <w:r w:rsidRPr="00164BD1">
          <w:rPr>
            <w:color w:val="328D9F"/>
            <w:sz w:val="36"/>
            <w:szCs w:val="36"/>
            <w:u w:val="single"/>
          </w:rPr>
          <w:t>https://www.census.gov/programs-surveys/decennial-census/2018-census-test/test/providence/group-quarters/erdt.html</w:t>
        </w:r>
      </w:hyperlink>
    </w:p>
  </w:endnote>
  <w:endnote w:id="16">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328D9F"/>
          <w:sz w:val="36"/>
          <w:szCs w:val="36"/>
        </w:rPr>
        <w:t xml:space="preserve"> </w:t>
      </w:r>
      <w:hyperlink r:id="rId11">
        <w:r w:rsidRPr="00164BD1">
          <w:rPr>
            <w:color w:val="328D9F"/>
            <w:sz w:val="36"/>
            <w:szCs w:val="36"/>
            <w:u w:val="single"/>
          </w:rPr>
          <w:t>https://www2.census.gov/programs-surveys/decennial/2020/program-management/planning-docs/2020-oper-plan4.pdf</w:t>
        </w:r>
      </w:hyperlink>
    </w:p>
  </w:endnote>
  <w:endnote w:id="17">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w:t>
      </w:r>
      <w:hyperlink r:id="rId12">
        <w:r w:rsidRPr="00164BD1">
          <w:rPr>
            <w:color w:val="328D9F"/>
            <w:sz w:val="36"/>
            <w:szCs w:val="36"/>
            <w:u w:val="single"/>
          </w:rPr>
          <w:t>http://www.georgetownpoverty.org/wp-content/uploads/2018/09/GCPI-ESOI-Counting-People-Experiencing-Homelessness-20180904.pdf</w:t>
        </w:r>
      </w:hyperlink>
      <w:r w:rsidRPr="00164BD1">
        <w:rPr>
          <w:color w:val="328D9F"/>
          <w:sz w:val="36"/>
          <w:szCs w:val="36"/>
        </w:rPr>
        <w:t xml:space="preserve"> </w:t>
      </w:r>
    </w:p>
  </w:endnote>
  <w:endnote w:id="18">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w:t>
      </w:r>
      <w:hyperlink r:id="rId13">
        <w:r w:rsidRPr="00164BD1">
          <w:rPr>
            <w:color w:val="328D9F"/>
            <w:sz w:val="36"/>
            <w:szCs w:val="36"/>
            <w:u w:val="single"/>
          </w:rPr>
          <w:t>https://www2.census.gov/programs-surveys/decennial/2020/program-management/planning-docs/2020-oper-plan4.pdf</w:t>
        </w:r>
      </w:hyperlink>
    </w:p>
  </w:endnote>
  <w:endnote w:id="19">
    <w:p w:rsidR="00525B54" w:rsidRPr="00164BD1" w:rsidRDefault="00525B54" w:rsidP="008D68E4">
      <w:pPr>
        <w:pBdr>
          <w:top w:val="nil"/>
          <w:left w:val="nil"/>
          <w:bottom w:val="nil"/>
          <w:right w:val="nil"/>
          <w:between w:val="nil"/>
        </w:pBdr>
        <w:spacing w:after="0" w:line="240" w:lineRule="auto"/>
        <w:rPr>
          <w:color w:val="0000FF"/>
          <w:sz w:val="36"/>
          <w:szCs w:val="36"/>
        </w:rPr>
      </w:pPr>
      <w:r w:rsidRPr="00164BD1">
        <w:rPr>
          <w:sz w:val="36"/>
          <w:szCs w:val="36"/>
          <w:vertAlign w:val="superscript"/>
        </w:rPr>
        <w:endnoteRef/>
      </w:r>
      <w:r w:rsidRPr="00164BD1">
        <w:rPr>
          <w:color w:val="000000"/>
          <w:sz w:val="36"/>
          <w:szCs w:val="36"/>
        </w:rPr>
        <w:t xml:space="preserve"> </w:t>
      </w:r>
      <w:hyperlink r:id="rId14">
        <w:r w:rsidRPr="00164BD1">
          <w:rPr>
            <w:color w:val="328D9F"/>
            <w:sz w:val="36"/>
            <w:szCs w:val="36"/>
            <w:u w:val="single"/>
          </w:rPr>
          <w:t>https://www.pewresearch.org/fact-tank/2017/04/07/disabled-americans-are-less-likely-to-use-technology/</w:t>
        </w:r>
      </w:hyperlink>
    </w:p>
  </w:endnote>
  <w:endnote w:id="20">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w:t>
      </w:r>
      <w:hyperlink r:id="rId15">
        <w:r w:rsidRPr="00164BD1">
          <w:rPr>
            <w:color w:val="328D9F"/>
            <w:sz w:val="36"/>
            <w:szCs w:val="36"/>
            <w:u w:val="single"/>
          </w:rPr>
          <w:t>https://www.census.gov/library/stories/2019/03/one-year-out</w:t>
        </w:r>
      </w:hyperlink>
    </w:p>
  </w:endnote>
  <w:endnote w:id="21">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w:t>
      </w:r>
      <w:hyperlink r:id="rId16">
        <w:r w:rsidRPr="00164BD1">
          <w:rPr>
            <w:color w:val="328D9F"/>
            <w:sz w:val="36"/>
            <w:szCs w:val="36"/>
            <w:u w:val="single"/>
          </w:rPr>
          <w:t>https://www2.census.gov/programs-surveys/decennial/2020/program-management/planning-docs/2020-oper-plan4.pdf</w:t>
        </w:r>
      </w:hyperlink>
    </w:p>
  </w:endnote>
  <w:endnote w:id="22">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328D9F"/>
          <w:sz w:val="36"/>
          <w:szCs w:val="36"/>
        </w:rPr>
        <w:t xml:space="preserve"> </w:t>
      </w:r>
      <w:hyperlink r:id="rId17">
        <w:r w:rsidRPr="00164BD1">
          <w:rPr>
            <w:color w:val="328D9F"/>
            <w:sz w:val="36"/>
            <w:szCs w:val="36"/>
            <w:u w:val="single"/>
          </w:rPr>
          <w:t>https://www.disabilityrightsca.org/post/census-2020-webinar-inclusion-of-people-with-disabilities</w:t>
        </w:r>
      </w:hyperlink>
    </w:p>
  </w:endnote>
  <w:endnote w:id="23">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w:t>
      </w:r>
      <w:hyperlink r:id="rId18">
        <w:r w:rsidRPr="00164BD1">
          <w:rPr>
            <w:sz w:val="36"/>
            <w:szCs w:val="36"/>
          </w:rPr>
          <w:t>Ibid.</w:t>
        </w:r>
      </w:hyperlink>
    </w:p>
  </w:endnote>
  <w:endnote w:id="24">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w:t>
      </w:r>
      <w:r w:rsidRPr="00164BD1">
        <w:rPr>
          <w:sz w:val="36"/>
          <w:szCs w:val="36"/>
        </w:rPr>
        <w:t xml:space="preserve">Statistic draws from CDC data on the civilian, noninstitutionalized population of people with disabilities. </w:t>
      </w:r>
      <w:hyperlink r:id="rId19">
        <w:r w:rsidRPr="00164BD1">
          <w:rPr>
            <w:color w:val="328D9F"/>
            <w:sz w:val="36"/>
            <w:szCs w:val="36"/>
            <w:u w:val="single"/>
          </w:rPr>
          <w:t>https://www.cdc.gov/ncbddd/disabilityandhealth/materials/infographic-disabilities-ethnicity-race.html</w:t>
        </w:r>
      </w:hyperlink>
    </w:p>
  </w:endnote>
  <w:endnote w:id="25">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sz w:val="36"/>
          <w:szCs w:val="36"/>
        </w:rPr>
        <w:t xml:space="preserve"> </w:t>
      </w:r>
      <w:hyperlink r:id="rId20">
        <w:r w:rsidRPr="00164BD1">
          <w:rPr>
            <w:color w:val="328D9F"/>
            <w:sz w:val="36"/>
            <w:szCs w:val="36"/>
            <w:u w:val="single"/>
          </w:rPr>
          <w:t>https://www.usich.gov/resources/uploads/asset_library/Homelessness-in-America-Focus-on-chronic.pdf</w:t>
        </w:r>
      </w:hyperlink>
    </w:p>
  </w:endnote>
  <w:endnote w:id="26">
    <w:p w:rsidR="00525B54" w:rsidRDefault="00525B54" w:rsidP="008D68E4">
      <w:pPr>
        <w:pStyle w:val="EndnoteText"/>
        <w:rPr>
          <w:sz w:val="36"/>
          <w:szCs w:val="36"/>
        </w:rPr>
      </w:pPr>
      <w:r w:rsidRPr="00164BD1">
        <w:rPr>
          <w:rStyle w:val="EndnoteReference"/>
          <w:sz w:val="36"/>
          <w:szCs w:val="36"/>
        </w:rPr>
        <w:endnoteRef/>
      </w:r>
      <w:r w:rsidRPr="00164BD1">
        <w:rPr>
          <w:sz w:val="36"/>
          <w:szCs w:val="36"/>
        </w:rPr>
        <w:t xml:space="preserve"> </w:t>
      </w:r>
      <w:hyperlink r:id="rId21" w:history="1">
        <w:r w:rsidRPr="00164BD1">
          <w:rPr>
            <w:color w:val="328D9F"/>
            <w:sz w:val="36"/>
            <w:szCs w:val="36"/>
            <w:u w:val="single"/>
          </w:rPr>
          <w:t>https://www.ncbi.nlm.nih.gov/pmc/articles/PMC3490559/</w:t>
        </w:r>
      </w:hyperlink>
      <w:r w:rsidRPr="00164BD1">
        <w:rPr>
          <w:sz w:val="36"/>
          <w:szCs w:val="36"/>
        </w:rPr>
        <w:t xml:space="preserve"> </w:t>
      </w:r>
    </w:p>
    <w:p w:rsidR="00CD72EE" w:rsidRDefault="00CD72EE" w:rsidP="008D68E4">
      <w:pPr>
        <w:pStyle w:val="EndnoteText"/>
        <w:rPr>
          <w:sz w:val="36"/>
          <w:szCs w:val="36"/>
        </w:rPr>
      </w:pPr>
    </w:p>
    <w:p w:rsidR="00CD72EE" w:rsidRPr="00164BD1" w:rsidRDefault="00CD72EE" w:rsidP="008D68E4">
      <w:pPr>
        <w:pStyle w:val="EndnoteText"/>
        <w:rPr>
          <w:sz w:val="36"/>
          <w:szCs w:val="36"/>
        </w:rPr>
      </w:pPr>
    </w:p>
  </w:endnote>
  <w:endnote w:id="27">
    <w:p w:rsidR="00525B54" w:rsidRPr="00164BD1" w:rsidRDefault="00525B54" w:rsidP="008D68E4">
      <w:pPr>
        <w:pStyle w:val="EndnoteText"/>
        <w:rPr>
          <w:sz w:val="36"/>
          <w:szCs w:val="36"/>
        </w:rPr>
      </w:pPr>
      <w:r w:rsidRPr="00164BD1">
        <w:rPr>
          <w:rStyle w:val="EndnoteReference"/>
          <w:sz w:val="36"/>
          <w:szCs w:val="36"/>
        </w:rPr>
        <w:endnoteRef/>
      </w:r>
      <w:r w:rsidRPr="00164BD1">
        <w:rPr>
          <w:sz w:val="36"/>
          <w:szCs w:val="36"/>
        </w:rPr>
        <w:t xml:space="preserve"> This figure only refers to the civilian, noninstitutionalized population of people with disabilities. </w:t>
      </w:r>
      <w:r w:rsidRPr="00164BD1">
        <w:rPr>
          <w:color w:val="000000"/>
          <w:sz w:val="36"/>
          <w:szCs w:val="36"/>
        </w:rPr>
        <w:t>The decennial census does not ask about disability and the Census Bureau cannot measure an undercount of people with disabilities. For example, the bureau is able to measure potential undercounts of young children, renters, racial and ethnic minorities since the decennial census does ask questions on age, race and homeownership. While the ACS does ask about disability, a potential undercount of people with disabilities has not been studied by staff working on the ACS. Information based on email exchanges with Census Bureau staff. Figures based on authors calculations using U.S. Census Bureau, American Community Survey 5-year Estimates, 2017, and the CUNY Center for Urban Research, Hard-to-Count map data, 2019.</w:t>
      </w:r>
    </w:p>
  </w:endnote>
  <w:endnote w:id="28">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Ibid.</w:t>
      </w:r>
    </w:p>
  </w:endnote>
  <w:endnote w:id="29">
    <w:p w:rsidR="00525B54" w:rsidRPr="00164BD1" w:rsidRDefault="00525B54" w:rsidP="008D68E4">
      <w:pPr>
        <w:spacing w:after="0" w:line="240" w:lineRule="auto"/>
        <w:rPr>
          <w:sz w:val="36"/>
          <w:szCs w:val="36"/>
        </w:rPr>
      </w:pPr>
      <w:r w:rsidRPr="00164BD1">
        <w:rPr>
          <w:sz w:val="36"/>
          <w:szCs w:val="36"/>
          <w:vertAlign w:val="superscript"/>
        </w:rPr>
        <w:endnoteRef/>
      </w:r>
      <w:r w:rsidRPr="00164BD1">
        <w:rPr>
          <w:sz w:val="36"/>
          <w:szCs w:val="36"/>
        </w:rPr>
        <w:t xml:space="preserve"> The programs noted below are all impacted by census data, as identified by the Census Bureau. </w:t>
      </w:r>
      <w:hyperlink r:id="rId22">
        <w:r w:rsidRPr="00164BD1">
          <w:rPr>
            <w:color w:val="328D9F"/>
            <w:sz w:val="36"/>
            <w:szCs w:val="36"/>
            <w:u w:val="single"/>
          </w:rPr>
          <w:t>https://www.census.gov/library/working-papers/2017/decennial/census-data-federal-funds.html</w:t>
        </w:r>
      </w:hyperlink>
    </w:p>
  </w:endnote>
  <w:endnote w:id="30">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w:t>
      </w:r>
      <w:r w:rsidRPr="00164BD1">
        <w:rPr>
          <w:sz w:val="36"/>
          <w:szCs w:val="36"/>
        </w:rPr>
        <w:t xml:space="preserve">Authors’ calculations. </w:t>
      </w:r>
      <w:r w:rsidRPr="00164BD1">
        <w:rPr>
          <w:color w:val="000000"/>
          <w:sz w:val="36"/>
          <w:szCs w:val="36"/>
        </w:rPr>
        <w:t>P&amp;As are funded via</w:t>
      </w:r>
      <w:r w:rsidRPr="00164BD1">
        <w:rPr>
          <w:sz w:val="36"/>
          <w:szCs w:val="36"/>
        </w:rPr>
        <w:t xml:space="preserve"> nine</w:t>
      </w:r>
      <w:r w:rsidRPr="00164BD1">
        <w:rPr>
          <w:color w:val="000000"/>
          <w:sz w:val="36"/>
          <w:szCs w:val="36"/>
        </w:rPr>
        <w:t xml:space="preserve"> fed</w:t>
      </w:r>
      <w:r w:rsidRPr="00164BD1">
        <w:rPr>
          <w:sz w:val="36"/>
          <w:szCs w:val="36"/>
        </w:rPr>
        <w:t xml:space="preserve">eral </w:t>
      </w:r>
      <w:r w:rsidRPr="00164BD1">
        <w:rPr>
          <w:color w:val="000000"/>
          <w:sz w:val="36"/>
          <w:szCs w:val="36"/>
        </w:rPr>
        <w:t>funding str</w:t>
      </w:r>
      <w:r w:rsidRPr="00164BD1">
        <w:rPr>
          <w:sz w:val="36"/>
          <w:szCs w:val="36"/>
        </w:rPr>
        <w:t>eams.</w:t>
      </w:r>
      <w:r w:rsidRPr="00164BD1">
        <w:rPr>
          <w:color w:val="000000"/>
          <w:sz w:val="36"/>
          <w:szCs w:val="36"/>
        </w:rPr>
        <w:t xml:space="preserve"> </w:t>
      </w:r>
      <w:hyperlink r:id="rId23">
        <w:r w:rsidRPr="00164BD1">
          <w:rPr>
            <w:color w:val="328D9F"/>
            <w:sz w:val="36"/>
            <w:szCs w:val="36"/>
            <w:u w:val="single"/>
          </w:rPr>
          <w:t>https://www.ndrn.org/issues/funding/</w:t>
        </w:r>
      </w:hyperlink>
      <w:r w:rsidRPr="00164BD1">
        <w:rPr>
          <w:color w:val="328D9F"/>
          <w:sz w:val="36"/>
          <w:szCs w:val="36"/>
        </w:rPr>
        <w:t xml:space="preserve"> </w:t>
      </w:r>
    </w:p>
  </w:endnote>
  <w:endnote w:id="31">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w:t>
      </w:r>
      <w:hyperlink r:id="rId24">
        <w:r w:rsidRPr="00164BD1">
          <w:rPr>
            <w:color w:val="328D9F"/>
            <w:sz w:val="36"/>
            <w:szCs w:val="36"/>
            <w:u w:val="single"/>
          </w:rPr>
          <w:t>https://acl.gov/sites/default/files/about-acl/2019-01/SCDD-2019.pdf</w:t>
        </w:r>
      </w:hyperlink>
      <w:r w:rsidRPr="00164BD1">
        <w:rPr>
          <w:color w:val="328D9F"/>
          <w:sz w:val="36"/>
          <w:szCs w:val="36"/>
        </w:rPr>
        <w:t xml:space="preserve"> </w:t>
      </w:r>
    </w:p>
  </w:endnote>
  <w:endnote w:id="32">
    <w:p w:rsidR="00525B54" w:rsidRPr="00164BD1" w:rsidRDefault="00525B54" w:rsidP="008D68E4">
      <w:pPr>
        <w:pBdr>
          <w:top w:val="nil"/>
          <w:left w:val="nil"/>
          <w:bottom w:val="nil"/>
          <w:right w:val="nil"/>
          <w:between w:val="nil"/>
        </w:pBdr>
        <w:spacing w:after="0" w:line="240" w:lineRule="auto"/>
        <w:rPr>
          <w:sz w:val="36"/>
          <w:szCs w:val="36"/>
        </w:rPr>
      </w:pPr>
      <w:r w:rsidRPr="00164BD1">
        <w:rPr>
          <w:sz w:val="36"/>
          <w:szCs w:val="36"/>
          <w:vertAlign w:val="superscript"/>
        </w:rPr>
        <w:endnoteRef/>
      </w:r>
      <w:r w:rsidRPr="00164BD1">
        <w:rPr>
          <w:color w:val="328D9F"/>
          <w:sz w:val="36"/>
          <w:szCs w:val="36"/>
        </w:rPr>
        <w:t xml:space="preserve"> </w:t>
      </w:r>
      <w:hyperlink r:id="rId25">
        <w:r w:rsidRPr="00164BD1">
          <w:rPr>
            <w:color w:val="328D9F"/>
            <w:sz w:val="36"/>
            <w:szCs w:val="36"/>
            <w:u w:val="single"/>
          </w:rPr>
          <w:t>https://acl.gov/programs/aging-and-disability-networks/state-councils-developmental-disabilities</w:t>
        </w:r>
      </w:hyperlink>
    </w:p>
  </w:endnote>
  <w:endnote w:id="33">
    <w:p w:rsidR="00525B54" w:rsidRPr="00164BD1" w:rsidRDefault="00525B54" w:rsidP="008D68E4">
      <w:pPr>
        <w:spacing w:after="0" w:line="240" w:lineRule="auto"/>
        <w:rPr>
          <w:color w:val="000000"/>
          <w:sz w:val="36"/>
          <w:szCs w:val="36"/>
        </w:rPr>
      </w:pPr>
      <w:r w:rsidRPr="00164BD1">
        <w:rPr>
          <w:sz w:val="36"/>
          <w:szCs w:val="36"/>
          <w:vertAlign w:val="superscript"/>
        </w:rPr>
        <w:endnoteRef/>
      </w:r>
      <w:r w:rsidRPr="00164BD1">
        <w:rPr>
          <w:sz w:val="36"/>
          <w:szCs w:val="36"/>
        </w:rPr>
        <w:t xml:space="preserve"> </w:t>
      </w:r>
      <w:hyperlink r:id="rId26">
        <w:r w:rsidRPr="00164BD1">
          <w:rPr>
            <w:color w:val="328D9F"/>
            <w:sz w:val="36"/>
            <w:szCs w:val="36"/>
            <w:u w:val="single"/>
          </w:rPr>
          <w:t>https://acl.gov/sites/default/files/about-acl/2019-01/ILSG-2019.pdf</w:t>
        </w:r>
      </w:hyperlink>
      <w:r w:rsidRPr="00164BD1">
        <w:rPr>
          <w:color w:val="328D9F"/>
          <w:sz w:val="36"/>
          <w:szCs w:val="36"/>
          <w:u w:val="single"/>
        </w:rPr>
        <w:t xml:space="preserve"> </w:t>
      </w:r>
      <w:r w:rsidRPr="00164BD1">
        <w:rPr>
          <w:color w:val="328D9F"/>
          <w:sz w:val="36"/>
          <w:szCs w:val="36"/>
        </w:rPr>
        <w:t xml:space="preserve"> </w:t>
      </w:r>
    </w:p>
  </w:endnote>
  <w:endnote w:id="34">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w:t>
      </w:r>
      <w:hyperlink r:id="rId27">
        <w:r w:rsidRPr="00164BD1">
          <w:rPr>
            <w:color w:val="328D9F"/>
            <w:sz w:val="36"/>
            <w:szCs w:val="36"/>
            <w:u w:val="single"/>
          </w:rPr>
          <w:t>https://www.appropriations.senate.gov/news/fy2019</w:t>
        </w:r>
      </w:hyperlink>
    </w:p>
  </w:endnote>
  <w:endnote w:id="35">
    <w:p w:rsidR="00525B54" w:rsidRDefault="00525B54" w:rsidP="008D68E4">
      <w:pPr>
        <w:pBdr>
          <w:top w:val="nil"/>
          <w:left w:val="nil"/>
          <w:bottom w:val="nil"/>
          <w:right w:val="nil"/>
          <w:between w:val="nil"/>
        </w:pBdr>
        <w:spacing w:after="0" w:line="240" w:lineRule="auto"/>
        <w:rPr>
          <w:color w:val="328D9F"/>
          <w:sz w:val="36"/>
          <w:szCs w:val="36"/>
          <w:u w:val="single"/>
        </w:rPr>
      </w:pPr>
      <w:r w:rsidRPr="00164BD1">
        <w:rPr>
          <w:sz w:val="36"/>
          <w:szCs w:val="36"/>
          <w:vertAlign w:val="superscript"/>
        </w:rPr>
        <w:endnoteRef/>
      </w:r>
      <w:r w:rsidRPr="00164BD1">
        <w:rPr>
          <w:color w:val="000000"/>
          <w:sz w:val="36"/>
          <w:szCs w:val="36"/>
        </w:rPr>
        <w:t xml:space="preserve"> </w:t>
      </w:r>
      <w:hyperlink r:id="rId28">
        <w:r w:rsidRPr="00164BD1">
          <w:rPr>
            <w:color w:val="328D9F"/>
            <w:sz w:val="36"/>
            <w:szCs w:val="36"/>
            <w:u w:val="single"/>
          </w:rPr>
          <w:t>https://www.law.cornell.edu/uscode/text/20/6301</w:t>
        </w:r>
      </w:hyperlink>
    </w:p>
    <w:p w:rsidR="00CD72EE" w:rsidRPr="00164BD1" w:rsidRDefault="00CD72EE" w:rsidP="008D68E4">
      <w:pPr>
        <w:pBdr>
          <w:top w:val="nil"/>
          <w:left w:val="nil"/>
          <w:bottom w:val="nil"/>
          <w:right w:val="nil"/>
          <w:between w:val="nil"/>
        </w:pBdr>
        <w:spacing w:after="0" w:line="240" w:lineRule="auto"/>
        <w:rPr>
          <w:color w:val="000000"/>
          <w:sz w:val="36"/>
          <w:szCs w:val="36"/>
        </w:rPr>
      </w:pPr>
    </w:p>
  </w:endnote>
  <w:endnote w:id="36">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w:t>
      </w:r>
      <w:hyperlink r:id="rId29">
        <w:r w:rsidRPr="00164BD1">
          <w:rPr>
            <w:color w:val="328D9F"/>
            <w:sz w:val="36"/>
            <w:szCs w:val="36"/>
            <w:u w:val="single"/>
          </w:rPr>
          <w:t>https://www.appropriations.senate.gov/news/fy2019-labor-hhs-and-education-appropriations-bill-gains-subcommittee-approval</w:t>
        </w:r>
      </w:hyperlink>
    </w:p>
  </w:endnote>
  <w:endnote w:id="37">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w:t>
      </w:r>
      <w:hyperlink r:id="rId30">
        <w:r w:rsidRPr="00164BD1">
          <w:rPr>
            <w:color w:val="328D9F"/>
            <w:sz w:val="36"/>
            <w:szCs w:val="36"/>
            <w:u w:val="single"/>
          </w:rPr>
          <w:t>https://www2.ed.gov/about/overview/budget/budget20/summary/20summary.pdf</w:t>
        </w:r>
      </w:hyperlink>
      <w:r w:rsidRPr="00164BD1">
        <w:rPr>
          <w:color w:val="328D9F"/>
          <w:sz w:val="36"/>
          <w:szCs w:val="36"/>
        </w:rPr>
        <w:t xml:space="preserve"> </w:t>
      </w:r>
    </w:p>
  </w:endnote>
  <w:endnote w:id="38">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w:t>
      </w:r>
      <w:hyperlink r:id="rId31">
        <w:r w:rsidRPr="00164BD1">
          <w:rPr>
            <w:color w:val="328D9F"/>
            <w:sz w:val="36"/>
            <w:szCs w:val="36"/>
            <w:u w:val="single"/>
          </w:rPr>
          <w:t>https://www.obpa.usda.gov/budsum/fy2020budsum.pdf</w:t>
        </w:r>
      </w:hyperlink>
      <w:r w:rsidRPr="00164BD1">
        <w:rPr>
          <w:color w:val="328D9F"/>
          <w:sz w:val="36"/>
          <w:szCs w:val="36"/>
        </w:rPr>
        <w:t xml:space="preserve"> </w:t>
      </w:r>
    </w:p>
  </w:endnote>
  <w:endnote w:id="39">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w:t>
      </w:r>
      <w:hyperlink r:id="rId32">
        <w:r w:rsidRPr="00164BD1">
          <w:rPr>
            <w:color w:val="328D9F"/>
            <w:sz w:val="36"/>
            <w:szCs w:val="36"/>
            <w:u w:val="single"/>
          </w:rPr>
          <w:t>https://www.fns.usda.gov/snap/supplemental-nutrition-assistance-program</w:t>
        </w:r>
      </w:hyperlink>
      <w:r w:rsidRPr="00164BD1">
        <w:rPr>
          <w:color w:val="328D9F"/>
          <w:sz w:val="36"/>
          <w:szCs w:val="36"/>
        </w:rPr>
        <w:t xml:space="preserve"> </w:t>
      </w:r>
    </w:p>
  </w:endnote>
  <w:endnote w:id="40">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w:t>
      </w:r>
      <w:hyperlink r:id="rId33">
        <w:r w:rsidRPr="00164BD1">
          <w:rPr>
            <w:color w:val="328D9F"/>
            <w:sz w:val="36"/>
            <w:szCs w:val="36"/>
            <w:u w:val="single"/>
          </w:rPr>
          <w:t>http://frac.org/blog/snap-matters-people-disabilities</w:t>
        </w:r>
      </w:hyperlink>
      <w:r w:rsidRPr="00164BD1">
        <w:rPr>
          <w:color w:val="328D9F"/>
          <w:sz w:val="36"/>
          <w:szCs w:val="36"/>
        </w:rPr>
        <w:t xml:space="preserve"> </w:t>
      </w:r>
    </w:p>
  </w:endnote>
  <w:endnote w:id="41">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w:t>
      </w:r>
      <w:hyperlink r:id="rId34">
        <w:r w:rsidRPr="00164BD1">
          <w:rPr>
            <w:color w:val="328D9F"/>
            <w:sz w:val="36"/>
            <w:szCs w:val="36"/>
            <w:u w:val="single"/>
          </w:rPr>
          <w:t>https://www.hhs.gov/sites/default/files/fy-2020-budget-in-brief.pdf</w:t>
        </w:r>
      </w:hyperlink>
      <w:r w:rsidRPr="00164BD1">
        <w:rPr>
          <w:color w:val="328D9F"/>
          <w:sz w:val="36"/>
          <w:szCs w:val="36"/>
        </w:rPr>
        <w:t xml:space="preserve"> </w:t>
      </w:r>
    </w:p>
  </w:endnote>
  <w:endnote w:id="42">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w:t>
      </w:r>
      <w:hyperlink r:id="rId35">
        <w:r w:rsidRPr="00164BD1">
          <w:rPr>
            <w:color w:val="328D9F"/>
            <w:sz w:val="36"/>
            <w:szCs w:val="36"/>
            <w:u w:val="single"/>
          </w:rPr>
          <w:t>https://www.kff.org/medicaid/state-indicator/distribution-of-medicaid-enrollees-by-enrollment-group/?dataView=0&amp;currentTimeframe=0&amp;selectedDistributions=disabled&amp;sortModel=%7B%22colId%22:%22Location%22,%22sort%22:%22asc%22%7D</w:t>
        </w:r>
      </w:hyperlink>
    </w:p>
  </w:endnote>
  <w:endnote w:id="43">
    <w:p w:rsidR="00525B54" w:rsidRPr="00164BD1" w:rsidRDefault="00525B54" w:rsidP="008D68E4">
      <w:pPr>
        <w:pBdr>
          <w:top w:val="nil"/>
          <w:left w:val="nil"/>
          <w:bottom w:val="nil"/>
          <w:right w:val="nil"/>
          <w:between w:val="nil"/>
        </w:pBdr>
        <w:spacing w:after="0" w:line="240" w:lineRule="auto"/>
        <w:rPr>
          <w:sz w:val="36"/>
          <w:szCs w:val="36"/>
        </w:rPr>
      </w:pPr>
      <w:r w:rsidRPr="00164BD1">
        <w:rPr>
          <w:rStyle w:val="EndnoteReference"/>
          <w:sz w:val="36"/>
          <w:szCs w:val="36"/>
        </w:rPr>
        <w:endnoteRef/>
      </w:r>
      <w:r w:rsidRPr="00164BD1">
        <w:rPr>
          <w:sz w:val="36"/>
          <w:szCs w:val="36"/>
        </w:rPr>
        <w:t xml:space="preserve"> </w:t>
      </w:r>
      <w:hyperlink r:id="rId36">
        <w:r w:rsidRPr="00164BD1">
          <w:rPr>
            <w:color w:val="328D9F"/>
            <w:sz w:val="36"/>
            <w:szCs w:val="36"/>
            <w:u w:val="single"/>
          </w:rPr>
          <w:t>https://www.cbpp.org/research/health/medicaid-works-for-people-with-disabilities</w:t>
        </w:r>
      </w:hyperlink>
      <w:r w:rsidRPr="00164BD1">
        <w:rPr>
          <w:color w:val="328D9F"/>
          <w:sz w:val="36"/>
          <w:szCs w:val="36"/>
        </w:rPr>
        <w:t xml:space="preserve">; </w:t>
      </w:r>
      <w:hyperlink r:id="rId37" w:history="1">
        <w:r w:rsidRPr="00164BD1">
          <w:rPr>
            <w:rStyle w:val="Hyperlink"/>
            <w:color w:val="328D9F"/>
            <w:sz w:val="36"/>
            <w:szCs w:val="36"/>
          </w:rPr>
          <w:t>https://www.kff.org/medicaid/issue-brief/10-things-to-know-about-medicaid-setting-the-facts-straight/</w:t>
        </w:r>
      </w:hyperlink>
    </w:p>
  </w:endnote>
  <w:endnote w:id="44">
    <w:p w:rsidR="00525B54" w:rsidRPr="00164BD1" w:rsidRDefault="00525B54" w:rsidP="008D68E4">
      <w:pPr>
        <w:pBdr>
          <w:top w:val="nil"/>
          <w:left w:val="nil"/>
          <w:bottom w:val="nil"/>
          <w:right w:val="nil"/>
          <w:between w:val="nil"/>
        </w:pBdr>
        <w:spacing w:after="0" w:line="240" w:lineRule="auto"/>
        <w:rPr>
          <w:sz w:val="36"/>
          <w:szCs w:val="36"/>
        </w:rPr>
      </w:pPr>
      <w:r w:rsidRPr="00164BD1">
        <w:rPr>
          <w:sz w:val="36"/>
          <w:szCs w:val="36"/>
          <w:vertAlign w:val="superscript"/>
        </w:rPr>
        <w:endnoteRef/>
      </w:r>
      <w:r w:rsidRPr="00164BD1">
        <w:rPr>
          <w:color w:val="000000"/>
          <w:sz w:val="36"/>
          <w:szCs w:val="36"/>
        </w:rPr>
        <w:t xml:space="preserve"> </w:t>
      </w:r>
      <w:r w:rsidRPr="00164BD1">
        <w:rPr>
          <w:sz w:val="36"/>
          <w:szCs w:val="36"/>
        </w:rPr>
        <w:t>Ibid.</w:t>
      </w:r>
    </w:p>
  </w:endnote>
  <w:endnote w:id="45">
    <w:p w:rsidR="00525B54" w:rsidRPr="00164BD1" w:rsidRDefault="00525B54" w:rsidP="008D68E4">
      <w:pPr>
        <w:pBdr>
          <w:top w:val="nil"/>
          <w:left w:val="nil"/>
          <w:bottom w:val="nil"/>
          <w:right w:val="nil"/>
          <w:between w:val="nil"/>
        </w:pBdr>
        <w:spacing w:after="0" w:line="240" w:lineRule="auto"/>
        <w:rPr>
          <w:color w:val="000000"/>
          <w:sz w:val="36"/>
          <w:szCs w:val="36"/>
        </w:rPr>
      </w:pPr>
      <w:r w:rsidRPr="00164BD1">
        <w:rPr>
          <w:sz w:val="36"/>
          <w:szCs w:val="36"/>
          <w:vertAlign w:val="superscript"/>
        </w:rPr>
        <w:endnoteRef/>
      </w:r>
      <w:r w:rsidRPr="00164BD1">
        <w:rPr>
          <w:color w:val="000000"/>
          <w:sz w:val="36"/>
          <w:szCs w:val="36"/>
        </w:rPr>
        <w:t xml:space="preserve"> </w:t>
      </w:r>
      <w:hyperlink r:id="rId38">
        <w:r w:rsidRPr="00164BD1">
          <w:rPr>
            <w:color w:val="328D9F"/>
            <w:sz w:val="36"/>
            <w:szCs w:val="36"/>
            <w:u w:val="single"/>
          </w:rPr>
          <w:t>https://www.hud.gov/sites/dfiles/CFO/documents/HUD2020BudgetinBrief03072019Final.pdf</w:t>
        </w:r>
      </w:hyperlink>
    </w:p>
  </w:endnote>
  <w:endnote w:id="46">
    <w:p w:rsidR="00525B54" w:rsidRDefault="00525B54" w:rsidP="008D68E4">
      <w:pPr>
        <w:pBdr>
          <w:top w:val="nil"/>
          <w:left w:val="nil"/>
          <w:bottom w:val="nil"/>
          <w:right w:val="nil"/>
          <w:between w:val="nil"/>
        </w:pBdr>
        <w:spacing w:after="0" w:line="240" w:lineRule="auto"/>
        <w:rPr>
          <w:color w:val="328D9F"/>
          <w:sz w:val="36"/>
          <w:szCs w:val="36"/>
          <w:u w:val="single"/>
        </w:rPr>
      </w:pPr>
      <w:r w:rsidRPr="00164BD1">
        <w:rPr>
          <w:sz w:val="36"/>
          <w:szCs w:val="36"/>
          <w:vertAlign w:val="superscript"/>
        </w:rPr>
        <w:endnoteRef/>
      </w:r>
      <w:r w:rsidRPr="00164BD1">
        <w:rPr>
          <w:color w:val="328D9F"/>
          <w:sz w:val="36"/>
          <w:szCs w:val="36"/>
        </w:rPr>
        <w:t xml:space="preserve"> </w:t>
      </w:r>
      <w:hyperlink r:id="rId39">
        <w:r w:rsidRPr="00164BD1">
          <w:rPr>
            <w:color w:val="328D9F"/>
            <w:sz w:val="36"/>
            <w:szCs w:val="36"/>
            <w:u w:val="single"/>
          </w:rPr>
          <w:t>https://www.hud.gov/program_offices/housing/mfh/progdesc/disab811</w:t>
        </w:r>
      </w:hyperlink>
    </w:p>
    <w:p w:rsidR="00CD72EE" w:rsidRDefault="00CD72EE" w:rsidP="008D68E4">
      <w:pPr>
        <w:pBdr>
          <w:top w:val="nil"/>
          <w:left w:val="nil"/>
          <w:bottom w:val="nil"/>
          <w:right w:val="nil"/>
          <w:between w:val="nil"/>
        </w:pBdr>
        <w:spacing w:after="0" w:line="240" w:lineRule="auto"/>
        <w:rPr>
          <w:color w:val="328D9F"/>
          <w:sz w:val="36"/>
          <w:szCs w:val="36"/>
          <w:u w:val="single"/>
        </w:rPr>
      </w:pPr>
    </w:p>
    <w:p w:rsidR="00CD72EE" w:rsidRPr="00164BD1" w:rsidRDefault="00CD72EE" w:rsidP="008D68E4">
      <w:pPr>
        <w:pBdr>
          <w:top w:val="nil"/>
          <w:left w:val="nil"/>
          <w:bottom w:val="nil"/>
          <w:right w:val="nil"/>
          <w:between w:val="nil"/>
        </w:pBdr>
        <w:spacing w:after="0" w:line="240" w:lineRule="auto"/>
        <w:rPr>
          <w:color w:val="000000"/>
          <w:sz w:val="36"/>
          <w:szCs w:val="36"/>
        </w:rPr>
      </w:pPr>
    </w:p>
  </w:endnote>
  <w:endnote w:id="47">
    <w:p w:rsidR="00525B54" w:rsidRPr="00164BD1" w:rsidRDefault="00525B54" w:rsidP="008D68E4">
      <w:pPr>
        <w:pBdr>
          <w:top w:val="nil"/>
          <w:left w:val="nil"/>
          <w:bottom w:val="nil"/>
          <w:right w:val="nil"/>
          <w:between w:val="nil"/>
        </w:pBdr>
        <w:spacing w:after="0" w:line="240" w:lineRule="auto"/>
        <w:rPr>
          <w:color w:val="0000FF"/>
          <w:sz w:val="36"/>
          <w:szCs w:val="36"/>
        </w:rPr>
      </w:pPr>
      <w:r w:rsidRPr="00164BD1">
        <w:rPr>
          <w:sz w:val="36"/>
          <w:szCs w:val="36"/>
          <w:vertAlign w:val="superscript"/>
        </w:rPr>
        <w:endnoteRef/>
      </w:r>
      <w:r w:rsidRPr="00164BD1">
        <w:rPr>
          <w:color w:val="0000FF"/>
          <w:sz w:val="36"/>
          <w:szCs w:val="36"/>
        </w:rPr>
        <w:t xml:space="preserve"> </w:t>
      </w:r>
      <w:hyperlink r:id="rId40">
        <w:r w:rsidRPr="00164BD1">
          <w:rPr>
            <w:color w:val="328D9F"/>
            <w:sz w:val="36"/>
            <w:szCs w:val="36"/>
            <w:u w:val="single"/>
          </w:rPr>
          <w:t>https://www2.ed.gov/about/overview/budget/budget20/summary/20summary.pdf</w:t>
        </w:r>
      </w:hyperlink>
    </w:p>
  </w:endnote>
  <w:endnote w:id="48">
    <w:p w:rsidR="00525B54" w:rsidRPr="00164BD1" w:rsidRDefault="00525B54" w:rsidP="008D68E4">
      <w:pPr>
        <w:pBdr>
          <w:top w:val="nil"/>
          <w:left w:val="nil"/>
          <w:bottom w:val="nil"/>
          <w:right w:val="nil"/>
          <w:between w:val="nil"/>
        </w:pBdr>
        <w:spacing w:after="0" w:line="240" w:lineRule="auto"/>
        <w:rPr>
          <w:color w:val="0000FF"/>
          <w:sz w:val="36"/>
          <w:szCs w:val="36"/>
        </w:rPr>
      </w:pPr>
      <w:r w:rsidRPr="00164BD1">
        <w:rPr>
          <w:sz w:val="36"/>
          <w:szCs w:val="36"/>
          <w:vertAlign w:val="superscript"/>
        </w:rPr>
        <w:endnoteRef/>
      </w:r>
      <w:r w:rsidRPr="00164BD1">
        <w:rPr>
          <w:color w:val="000000"/>
          <w:sz w:val="36"/>
          <w:szCs w:val="36"/>
        </w:rPr>
        <w:t xml:space="preserve"> </w:t>
      </w:r>
      <w:r w:rsidRPr="00164BD1">
        <w:rPr>
          <w:sz w:val="36"/>
          <w:szCs w:val="36"/>
        </w:rPr>
        <w:t>Ibid.</w:t>
      </w:r>
    </w:p>
  </w:endnote>
  <w:endnote w:id="49">
    <w:p w:rsidR="00525B54" w:rsidRPr="00DF6FCD" w:rsidRDefault="00525B54" w:rsidP="008D68E4">
      <w:pPr>
        <w:pBdr>
          <w:top w:val="nil"/>
          <w:left w:val="nil"/>
          <w:bottom w:val="nil"/>
          <w:right w:val="nil"/>
          <w:between w:val="nil"/>
        </w:pBdr>
        <w:spacing w:after="0" w:line="240" w:lineRule="auto"/>
        <w:rPr>
          <w:color w:val="0000FF"/>
          <w:sz w:val="16"/>
          <w:szCs w:val="16"/>
        </w:rPr>
      </w:pPr>
      <w:r w:rsidRPr="00164BD1">
        <w:rPr>
          <w:sz w:val="36"/>
          <w:szCs w:val="36"/>
          <w:vertAlign w:val="superscript"/>
        </w:rPr>
        <w:endnoteRef/>
      </w:r>
      <w:r w:rsidRPr="00164BD1">
        <w:rPr>
          <w:color w:val="0000FF"/>
          <w:sz w:val="36"/>
          <w:szCs w:val="36"/>
        </w:rPr>
        <w:t xml:space="preserve"> </w:t>
      </w:r>
      <w:r w:rsidRPr="00164BD1">
        <w:rPr>
          <w:sz w:val="36"/>
          <w:szCs w:val="36"/>
        </w:rPr>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6"/>
        <w:szCs w:val="36"/>
      </w:rPr>
      <w:id w:val="1159188772"/>
      <w:docPartObj>
        <w:docPartGallery w:val="Page Numbers (Bottom of Page)"/>
        <w:docPartUnique/>
      </w:docPartObj>
    </w:sdtPr>
    <w:sdtEndPr>
      <w:rPr>
        <w:noProof/>
      </w:rPr>
    </w:sdtEndPr>
    <w:sdtContent>
      <w:p w:rsidR="00164BD1" w:rsidRPr="006C527B" w:rsidRDefault="00836766">
        <w:pPr>
          <w:pStyle w:val="Footer"/>
          <w:jc w:val="right"/>
          <w:rPr>
            <w:sz w:val="36"/>
            <w:szCs w:val="36"/>
          </w:rPr>
        </w:pPr>
        <w:r>
          <w:rPr>
            <w:sz w:val="36"/>
            <w:szCs w:val="36"/>
          </w:rPr>
          <w:t>A</w:t>
        </w:r>
        <w:r w:rsidR="006C527B" w:rsidRPr="006C527B">
          <w:rPr>
            <w:sz w:val="36"/>
            <w:szCs w:val="36"/>
            <w:lang w:bidi="en-US"/>
          </w:rPr>
          <w:t xml:space="preserve"> Guide to the 2020 Census Operations &amp; Challenges</w:t>
        </w:r>
        <w:r w:rsidR="006C527B">
          <w:rPr>
            <w:sz w:val="36"/>
            <w:szCs w:val="36"/>
            <w:lang w:bidi="en-US"/>
          </w:rPr>
          <w:t xml:space="preserve">  |  </w:t>
        </w:r>
        <w:r w:rsidR="006C527B" w:rsidRPr="006C527B">
          <w:rPr>
            <w:sz w:val="36"/>
            <w:szCs w:val="36"/>
          </w:rPr>
          <w:t xml:space="preserve"> </w:t>
        </w:r>
        <w:r w:rsidR="00164BD1" w:rsidRPr="006C527B">
          <w:rPr>
            <w:sz w:val="36"/>
            <w:szCs w:val="36"/>
          </w:rPr>
          <w:fldChar w:fldCharType="begin"/>
        </w:r>
        <w:r w:rsidR="00164BD1" w:rsidRPr="006C527B">
          <w:rPr>
            <w:sz w:val="36"/>
            <w:szCs w:val="36"/>
          </w:rPr>
          <w:instrText xml:space="preserve"> PAGE   \* MERGEFORMAT </w:instrText>
        </w:r>
        <w:r w:rsidR="00164BD1" w:rsidRPr="006C527B">
          <w:rPr>
            <w:sz w:val="36"/>
            <w:szCs w:val="36"/>
          </w:rPr>
          <w:fldChar w:fldCharType="separate"/>
        </w:r>
        <w:r w:rsidR="00342B58">
          <w:rPr>
            <w:noProof/>
            <w:sz w:val="36"/>
            <w:szCs w:val="36"/>
          </w:rPr>
          <w:t>13</w:t>
        </w:r>
        <w:r w:rsidR="00164BD1" w:rsidRPr="006C527B">
          <w:rPr>
            <w:noProof/>
            <w:sz w:val="36"/>
            <w:szCs w:val="36"/>
          </w:rPr>
          <w:fldChar w:fldCharType="end"/>
        </w:r>
      </w:p>
    </w:sdtContent>
  </w:sdt>
  <w:p w:rsidR="00525B54" w:rsidRPr="006C527B" w:rsidRDefault="00525B54">
    <w:pPr>
      <w:pStyle w:val="BodyText"/>
      <w:spacing w:line="14" w:lineRule="auto"/>
      <w:rPr>
        <w:sz w:val="36"/>
        <w:szCs w:val="3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FCF" w:rsidRDefault="00DE5FCF" w:rsidP="000F156B">
      <w:pPr>
        <w:spacing w:after="0" w:line="240" w:lineRule="auto"/>
      </w:pPr>
      <w:r>
        <w:separator/>
      </w:r>
    </w:p>
    <w:p w:rsidR="00DE5FCF" w:rsidRDefault="00DE5FCF"/>
    <w:p w:rsidR="00DE5FCF" w:rsidRDefault="00DE5FCF" w:rsidP="00164BD1"/>
  </w:footnote>
  <w:footnote w:type="continuationSeparator" w:id="0">
    <w:p w:rsidR="00DE5FCF" w:rsidRDefault="00DE5FCF" w:rsidP="000F156B">
      <w:pPr>
        <w:spacing w:after="0" w:line="240" w:lineRule="auto"/>
      </w:pPr>
      <w:r>
        <w:continuationSeparator/>
      </w:r>
    </w:p>
    <w:p w:rsidR="00DE5FCF" w:rsidRDefault="00DE5FCF"/>
    <w:p w:rsidR="00DE5FCF" w:rsidRDefault="00DE5FCF" w:rsidP="00164BD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2EE" w:rsidRPr="00CD72EE" w:rsidRDefault="00CD72EE" w:rsidP="00CD72EE">
    <w:pPr>
      <w:pStyle w:val="Header"/>
      <w:rPr>
        <w:vertAlign w:val="subscript"/>
      </w:rPr>
    </w:pPr>
    <w:r w:rsidRPr="006B7A35">
      <w:rPr>
        <w:rFonts w:cs="Arial"/>
        <w:noProof/>
        <w:sz w:val="40"/>
        <w:szCs w:val="40"/>
        <w:lang w:bidi="ar-SA"/>
      </w:rPr>
      <w:drawing>
        <wp:anchor distT="0" distB="0" distL="114300" distR="114300" simplePos="0" relativeHeight="251665408" behindDoc="0" locked="0" layoutInCell="1" hidden="0" allowOverlap="1" wp14:anchorId="5537AECB" wp14:editId="54398121">
          <wp:simplePos x="0" y="0"/>
          <wp:positionH relativeFrom="margin">
            <wp:posOffset>3609975</wp:posOffset>
          </wp:positionH>
          <wp:positionV relativeFrom="topMargin">
            <wp:posOffset>250190</wp:posOffset>
          </wp:positionV>
          <wp:extent cx="2807363" cy="776074"/>
          <wp:effectExtent l="0" t="0" r="0" b="5080"/>
          <wp:wrapNone/>
          <wp:docPr id="132" name="image3.png" descr="National Disability Rights Net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NDRN"/>
                  <pic:cNvPicPr/>
                </pic:nvPicPr>
                <pic:blipFill>
                  <a:blip r:embed="rId1"/>
                  <a:srcRect/>
                  <a:stretch>
                    <a:fillRect/>
                  </a:stretch>
                </pic:blipFill>
                <pic:spPr>
                  <a:xfrm>
                    <a:off x="0" y="0"/>
                    <a:ext cx="2807363" cy="776074"/>
                  </a:xfrm>
                  <a:prstGeom prst="rect">
                    <a:avLst/>
                  </a:prstGeom>
                </pic:spPr>
              </pic:pic>
            </a:graphicData>
          </a:graphic>
          <wp14:sizeRelH relativeFrom="margin">
            <wp14:pctWidth>0</wp14:pctWidth>
          </wp14:sizeRelH>
          <wp14:sizeRelV relativeFrom="margin">
            <wp14:pctHeight>0</wp14:pctHeight>
          </wp14:sizeRelV>
        </wp:anchor>
      </w:drawing>
    </w:r>
    <w:r w:rsidRPr="006B7A35">
      <w:rPr>
        <w:rFonts w:cs="Arial"/>
        <w:b/>
        <w:noProof/>
        <w:sz w:val="40"/>
        <w:szCs w:val="40"/>
        <w:lang w:bidi="ar-SA"/>
      </w:rPr>
      <w:drawing>
        <wp:anchor distT="0" distB="0" distL="114300" distR="114300" simplePos="0" relativeHeight="251663360" behindDoc="0" locked="0" layoutInCell="1" allowOverlap="1" wp14:anchorId="57A7361D" wp14:editId="44D3DFA9">
          <wp:simplePos x="0" y="0"/>
          <wp:positionH relativeFrom="margin">
            <wp:posOffset>-95250</wp:posOffset>
          </wp:positionH>
          <wp:positionV relativeFrom="paragraph">
            <wp:posOffset>552450</wp:posOffset>
          </wp:positionV>
          <wp:extent cx="3329796" cy="339342"/>
          <wp:effectExtent l="0" t="0" r="4445" b="3810"/>
          <wp:wrapNone/>
          <wp:docPr id="133" name="Picture 133" descr="Georgetown Center on Poverty and Inequality'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9796" cy="339342"/>
                  </a:xfrm>
                  <a:prstGeom prst="rect">
                    <a:avLst/>
                  </a:prstGeom>
                </pic:spPr>
              </pic:pic>
            </a:graphicData>
          </a:graphic>
          <wp14:sizeRelH relativeFrom="margin">
            <wp14:pctWidth>0</wp14:pctWidth>
          </wp14:sizeRelH>
          <wp14:sizeRelV relativeFrom="margin">
            <wp14:pctHeight>0</wp14:pctHeight>
          </wp14:sizeRelV>
        </wp:anchor>
      </w:drawing>
    </w:r>
    <w:r w:rsidRPr="006B7A35">
      <w:rPr>
        <w:rFonts w:cs="Arial"/>
        <w:b/>
        <w:noProof/>
        <w:sz w:val="40"/>
        <w:szCs w:val="4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6D62"/>
    <w:multiLevelType w:val="hybridMultilevel"/>
    <w:tmpl w:val="18A4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27467"/>
    <w:multiLevelType w:val="hybridMultilevel"/>
    <w:tmpl w:val="B52A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B5C89"/>
    <w:multiLevelType w:val="hybridMultilevel"/>
    <w:tmpl w:val="8C2C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BC68F5"/>
    <w:multiLevelType w:val="hybridMultilevel"/>
    <w:tmpl w:val="03FE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070AC"/>
    <w:multiLevelType w:val="hybridMultilevel"/>
    <w:tmpl w:val="A6FA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80F2C"/>
    <w:multiLevelType w:val="hybridMultilevel"/>
    <w:tmpl w:val="176610D2"/>
    <w:lvl w:ilvl="0" w:tplc="C484880E">
      <w:numFmt w:val="bullet"/>
      <w:lvlText w:val=""/>
      <w:lvlJc w:val="left"/>
      <w:pPr>
        <w:ind w:left="828" w:hanging="360"/>
      </w:pPr>
      <w:rPr>
        <w:rFonts w:ascii="Wingdings" w:eastAsia="Wingdings" w:hAnsi="Wingdings" w:cs="Wingdings" w:hint="default"/>
        <w:color w:val="FFFFFF"/>
        <w:w w:val="100"/>
        <w:position w:val="-2"/>
        <w:sz w:val="26"/>
        <w:szCs w:val="26"/>
        <w:lang w:val="en-US" w:eastAsia="en-US" w:bidi="en-US"/>
      </w:rPr>
    </w:lvl>
    <w:lvl w:ilvl="1" w:tplc="7840AC52">
      <w:numFmt w:val="bullet"/>
      <w:lvlText w:val="•"/>
      <w:lvlJc w:val="left"/>
      <w:pPr>
        <w:ind w:left="1307" w:hanging="360"/>
      </w:pPr>
      <w:rPr>
        <w:rFonts w:hint="default"/>
        <w:lang w:val="en-US" w:eastAsia="en-US" w:bidi="en-US"/>
      </w:rPr>
    </w:lvl>
    <w:lvl w:ilvl="2" w:tplc="6EF4196A">
      <w:numFmt w:val="bullet"/>
      <w:lvlText w:val="•"/>
      <w:lvlJc w:val="left"/>
      <w:pPr>
        <w:ind w:left="1794" w:hanging="360"/>
      </w:pPr>
      <w:rPr>
        <w:rFonts w:hint="default"/>
        <w:lang w:val="en-US" w:eastAsia="en-US" w:bidi="en-US"/>
      </w:rPr>
    </w:lvl>
    <w:lvl w:ilvl="3" w:tplc="46164AAC">
      <w:numFmt w:val="bullet"/>
      <w:lvlText w:val="•"/>
      <w:lvlJc w:val="left"/>
      <w:pPr>
        <w:ind w:left="2281" w:hanging="360"/>
      </w:pPr>
      <w:rPr>
        <w:rFonts w:hint="default"/>
        <w:lang w:val="en-US" w:eastAsia="en-US" w:bidi="en-US"/>
      </w:rPr>
    </w:lvl>
    <w:lvl w:ilvl="4" w:tplc="2DC0695A">
      <w:numFmt w:val="bullet"/>
      <w:lvlText w:val="•"/>
      <w:lvlJc w:val="left"/>
      <w:pPr>
        <w:ind w:left="2768" w:hanging="360"/>
      </w:pPr>
      <w:rPr>
        <w:rFonts w:hint="default"/>
        <w:lang w:val="en-US" w:eastAsia="en-US" w:bidi="en-US"/>
      </w:rPr>
    </w:lvl>
    <w:lvl w:ilvl="5" w:tplc="42842432">
      <w:numFmt w:val="bullet"/>
      <w:lvlText w:val="•"/>
      <w:lvlJc w:val="left"/>
      <w:pPr>
        <w:ind w:left="3255" w:hanging="360"/>
      </w:pPr>
      <w:rPr>
        <w:rFonts w:hint="default"/>
        <w:lang w:val="en-US" w:eastAsia="en-US" w:bidi="en-US"/>
      </w:rPr>
    </w:lvl>
    <w:lvl w:ilvl="6" w:tplc="16D06722">
      <w:numFmt w:val="bullet"/>
      <w:lvlText w:val="•"/>
      <w:lvlJc w:val="left"/>
      <w:pPr>
        <w:ind w:left="3742" w:hanging="360"/>
      </w:pPr>
      <w:rPr>
        <w:rFonts w:hint="default"/>
        <w:lang w:val="en-US" w:eastAsia="en-US" w:bidi="en-US"/>
      </w:rPr>
    </w:lvl>
    <w:lvl w:ilvl="7" w:tplc="E2B609EA">
      <w:numFmt w:val="bullet"/>
      <w:lvlText w:val="•"/>
      <w:lvlJc w:val="left"/>
      <w:pPr>
        <w:ind w:left="4229" w:hanging="360"/>
      </w:pPr>
      <w:rPr>
        <w:rFonts w:hint="default"/>
        <w:lang w:val="en-US" w:eastAsia="en-US" w:bidi="en-US"/>
      </w:rPr>
    </w:lvl>
    <w:lvl w:ilvl="8" w:tplc="DB0AA0A6">
      <w:numFmt w:val="bullet"/>
      <w:lvlText w:val="•"/>
      <w:lvlJc w:val="left"/>
      <w:pPr>
        <w:ind w:left="4716" w:hanging="360"/>
      </w:pPr>
      <w:rPr>
        <w:rFonts w:hint="default"/>
        <w:lang w:val="en-US" w:eastAsia="en-US" w:bidi="en-US"/>
      </w:rPr>
    </w:lvl>
  </w:abstractNum>
  <w:abstractNum w:abstractNumId="6" w15:restartNumberingAfterBreak="0">
    <w:nsid w:val="5E785AEB"/>
    <w:multiLevelType w:val="multilevel"/>
    <w:tmpl w:val="FE8861D8"/>
    <w:lvl w:ilvl="0">
      <w:start w:val="1"/>
      <w:numFmt w:val="bullet"/>
      <w:lvlText w:val="▪"/>
      <w:lvlJc w:val="left"/>
      <w:pPr>
        <w:ind w:left="720" w:hanging="360"/>
      </w:pPr>
      <w:rPr>
        <w:rFonts w:ascii="Noto Sans Symbols" w:eastAsia="Noto Sans Symbols" w:hAnsi="Noto Sans Symbols" w:cs="Noto Sans Symbols"/>
        <w:color w:val="44433F"/>
        <w:position w:val="-2"/>
        <w:sz w:val="26"/>
        <w:szCs w:val="26"/>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B86C4F"/>
    <w:multiLevelType w:val="hybridMultilevel"/>
    <w:tmpl w:val="E008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D0A2C"/>
    <w:multiLevelType w:val="hybridMultilevel"/>
    <w:tmpl w:val="F53A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9F2CD9"/>
    <w:multiLevelType w:val="hybridMultilevel"/>
    <w:tmpl w:val="50B2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0"/>
  </w:num>
  <w:num w:numId="5">
    <w:abstractNumId w:val="2"/>
  </w:num>
  <w:num w:numId="6">
    <w:abstractNumId w:val="1"/>
  </w:num>
  <w:num w:numId="7">
    <w:abstractNumId w:val="3"/>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6B"/>
    <w:rsid w:val="000F156B"/>
    <w:rsid w:val="00160143"/>
    <w:rsid w:val="00164BD1"/>
    <w:rsid w:val="00220813"/>
    <w:rsid w:val="00231950"/>
    <w:rsid w:val="00276094"/>
    <w:rsid w:val="00342B58"/>
    <w:rsid w:val="00380F90"/>
    <w:rsid w:val="0043685B"/>
    <w:rsid w:val="00513062"/>
    <w:rsid w:val="00525B54"/>
    <w:rsid w:val="005C240F"/>
    <w:rsid w:val="005E5962"/>
    <w:rsid w:val="00632A24"/>
    <w:rsid w:val="00642A05"/>
    <w:rsid w:val="006B7A35"/>
    <w:rsid w:val="006C527B"/>
    <w:rsid w:val="007E002B"/>
    <w:rsid w:val="00836766"/>
    <w:rsid w:val="008808C8"/>
    <w:rsid w:val="008D68E4"/>
    <w:rsid w:val="0092565A"/>
    <w:rsid w:val="009B0D60"/>
    <w:rsid w:val="00A0499C"/>
    <w:rsid w:val="00A65951"/>
    <w:rsid w:val="00B9128F"/>
    <w:rsid w:val="00C27978"/>
    <w:rsid w:val="00CD72EE"/>
    <w:rsid w:val="00DE5FCF"/>
    <w:rsid w:val="00DF5AF2"/>
    <w:rsid w:val="00E777DD"/>
    <w:rsid w:val="00E8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1CFD9"/>
  <w15:chartTrackingRefBased/>
  <w15:docId w15:val="{0B1C3996-C8B8-4350-9D32-E7C70B5D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85B"/>
  </w:style>
  <w:style w:type="paragraph" w:styleId="Heading1">
    <w:name w:val="heading 1"/>
    <w:basedOn w:val="Normal"/>
    <w:next w:val="Normal"/>
    <w:link w:val="Heading1Char"/>
    <w:uiPriority w:val="9"/>
    <w:qFormat/>
    <w:rsid w:val="00164BD1"/>
    <w:pPr>
      <w:keepNext/>
      <w:keepLines/>
      <w:spacing w:line="240" w:lineRule="auto"/>
      <w:outlineLvl w:val="0"/>
    </w:pPr>
    <w:rPr>
      <w:rFonts w:eastAsiaTheme="majorEastAsia" w:cstheme="majorBidi"/>
      <w:b/>
      <w:sz w:val="40"/>
      <w:szCs w:val="40"/>
      <w:lang w:bidi="en-US"/>
    </w:rPr>
  </w:style>
  <w:style w:type="paragraph" w:styleId="Heading2">
    <w:name w:val="heading 2"/>
    <w:basedOn w:val="Normal"/>
    <w:next w:val="Normal"/>
    <w:link w:val="Heading2Char"/>
    <w:uiPriority w:val="9"/>
    <w:unhideWhenUsed/>
    <w:qFormat/>
    <w:rsid w:val="0043685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43685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43685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3685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3685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3685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43685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3685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54"/>
    <w:pPr>
      <w:ind w:left="720"/>
      <w:contextualSpacing/>
    </w:pPr>
  </w:style>
  <w:style w:type="paragraph" w:styleId="BodyText">
    <w:name w:val="Body Text"/>
    <w:basedOn w:val="Normal"/>
    <w:link w:val="BodyTextChar"/>
    <w:uiPriority w:val="99"/>
    <w:semiHidden/>
    <w:unhideWhenUsed/>
    <w:rsid w:val="00525B54"/>
  </w:style>
  <w:style w:type="character" w:customStyle="1" w:styleId="BodyTextChar">
    <w:name w:val="Body Text Char"/>
    <w:basedOn w:val="DefaultParagraphFont"/>
    <w:link w:val="BodyText"/>
    <w:uiPriority w:val="99"/>
    <w:semiHidden/>
    <w:rsid w:val="00525B54"/>
  </w:style>
  <w:style w:type="paragraph" w:styleId="EndnoteText">
    <w:name w:val="endnote text"/>
    <w:basedOn w:val="Normal"/>
    <w:link w:val="EndnoteTextChar"/>
    <w:uiPriority w:val="99"/>
    <w:semiHidden/>
    <w:unhideWhenUsed/>
    <w:rsid w:val="00525B54"/>
    <w:pPr>
      <w:widowControl w:val="0"/>
      <w:autoSpaceDE w:val="0"/>
      <w:autoSpaceDN w:val="0"/>
      <w:spacing w:after="0" w:line="240" w:lineRule="auto"/>
    </w:pPr>
    <w:rPr>
      <w:rFonts w:ascii="Calibri" w:eastAsia="Calibri" w:hAnsi="Calibri" w:cs="Calibri"/>
      <w:lang w:bidi="en-US"/>
    </w:rPr>
  </w:style>
  <w:style w:type="character" w:customStyle="1" w:styleId="EndnoteTextChar">
    <w:name w:val="Endnote Text Char"/>
    <w:basedOn w:val="DefaultParagraphFont"/>
    <w:link w:val="EndnoteText"/>
    <w:uiPriority w:val="99"/>
    <w:semiHidden/>
    <w:rsid w:val="00525B54"/>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525B54"/>
    <w:rPr>
      <w:vertAlign w:val="superscript"/>
    </w:rPr>
  </w:style>
  <w:style w:type="paragraph" w:styleId="Header">
    <w:name w:val="header"/>
    <w:basedOn w:val="Normal"/>
    <w:link w:val="HeaderChar"/>
    <w:uiPriority w:val="99"/>
    <w:unhideWhenUsed/>
    <w:rsid w:val="00525B54"/>
    <w:pPr>
      <w:widowControl w:val="0"/>
      <w:tabs>
        <w:tab w:val="center" w:pos="4680"/>
        <w:tab w:val="right" w:pos="9360"/>
      </w:tabs>
      <w:autoSpaceDE w:val="0"/>
      <w:autoSpaceDN w:val="0"/>
      <w:spacing w:after="0" w:line="240" w:lineRule="auto"/>
    </w:pPr>
    <w:rPr>
      <w:rFonts w:ascii="Calibri" w:eastAsia="Calibri" w:hAnsi="Calibri" w:cs="Calibri"/>
      <w:lang w:bidi="en-US"/>
    </w:rPr>
  </w:style>
  <w:style w:type="character" w:customStyle="1" w:styleId="HeaderChar">
    <w:name w:val="Header Char"/>
    <w:basedOn w:val="DefaultParagraphFont"/>
    <w:link w:val="Header"/>
    <w:uiPriority w:val="99"/>
    <w:rsid w:val="00525B54"/>
    <w:rPr>
      <w:rFonts w:ascii="Calibri" w:eastAsia="Calibri" w:hAnsi="Calibri" w:cs="Calibri"/>
      <w:lang w:bidi="en-US"/>
    </w:rPr>
  </w:style>
  <w:style w:type="character" w:styleId="Hyperlink">
    <w:name w:val="Hyperlink"/>
    <w:basedOn w:val="DefaultParagraphFont"/>
    <w:uiPriority w:val="99"/>
    <w:unhideWhenUsed/>
    <w:rsid w:val="00525B54"/>
    <w:rPr>
      <w:color w:val="0563C1" w:themeColor="hyperlink"/>
      <w:u w:val="single"/>
    </w:rPr>
  </w:style>
  <w:style w:type="paragraph" w:styleId="Footer">
    <w:name w:val="footer"/>
    <w:basedOn w:val="Normal"/>
    <w:link w:val="FooterChar"/>
    <w:uiPriority w:val="99"/>
    <w:unhideWhenUsed/>
    <w:rsid w:val="00525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B54"/>
  </w:style>
  <w:style w:type="character" w:customStyle="1" w:styleId="Heading1Char">
    <w:name w:val="Heading 1 Char"/>
    <w:basedOn w:val="DefaultParagraphFont"/>
    <w:link w:val="Heading1"/>
    <w:uiPriority w:val="9"/>
    <w:rsid w:val="00164BD1"/>
    <w:rPr>
      <w:rFonts w:eastAsiaTheme="majorEastAsia" w:cstheme="majorBidi"/>
      <w:b/>
      <w:sz w:val="40"/>
      <w:szCs w:val="40"/>
      <w:lang w:bidi="en-US"/>
    </w:rPr>
  </w:style>
  <w:style w:type="character" w:customStyle="1" w:styleId="Heading2Char">
    <w:name w:val="Heading 2 Char"/>
    <w:basedOn w:val="DefaultParagraphFont"/>
    <w:link w:val="Heading2"/>
    <w:uiPriority w:val="9"/>
    <w:rsid w:val="0043685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43685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43685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3685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43685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43685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43685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3685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3685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3685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43685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8808C8"/>
    <w:pPr>
      <w:numPr>
        <w:ilvl w:val="1"/>
      </w:numPr>
      <w:spacing w:after="0" w:line="240" w:lineRule="auto"/>
    </w:pPr>
    <w:rPr>
      <w:rFonts w:eastAsiaTheme="majorEastAsia" w:cstheme="majorBidi"/>
      <w:sz w:val="36"/>
      <w:szCs w:val="36"/>
      <w:lang w:bidi="en-US"/>
    </w:rPr>
  </w:style>
  <w:style w:type="character" w:customStyle="1" w:styleId="SubtitleChar">
    <w:name w:val="Subtitle Char"/>
    <w:basedOn w:val="DefaultParagraphFont"/>
    <w:link w:val="Subtitle"/>
    <w:uiPriority w:val="11"/>
    <w:rsid w:val="008808C8"/>
    <w:rPr>
      <w:rFonts w:eastAsiaTheme="majorEastAsia" w:cstheme="majorBidi"/>
      <w:sz w:val="36"/>
      <w:szCs w:val="36"/>
      <w:lang w:bidi="en-US"/>
    </w:rPr>
  </w:style>
  <w:style w:type="character" w:styleId="Strong">
    <w:name w:val="Strong"/>
    <w:basedOn w:val="DefaultParagraphFont"/>
    <w:uiPriority w:val="22"/>
    <w:qFormat/>
    <w:rsid w:val="0043685B"/>
    <w:rPr>
      <w:b/>
      <w:bCs/>
    </w:rPr>
  </w:style>
  <w:style w:type="character" w:styleId="Emphasis">
    <w:name w:val="Emphasis"/>
    <w:basedOn w:val="DefaultParagraphFont"/>
    <w:uiPriority w:val="20"/>
    <w:qFormat/>
    <w:rsid w:val="0043685B"/>
    <w:rPr>
      <w:i/>
      <w:iCs/>
    </w:rPr>
  </w:style>
  <w:style w:type="paragraph" w:styleId="NoSpacing">
    <w:name w:val="No Spacing"/>
    <w:uiPriority w:val="1"/>
    <w:qFormat/>
    <w:rsid w:val="0043685B"/>
    <w:pPr>
      <w:spacing w:after="0" w:line="240" w:lineRule="auto"/>
    </w:pPr>
  </w:style>
  <w:style w:type="paragraph" w:styleId="Quote">
    <w:name w:val="Quote"/>
    <w:basedOn w:val="Normal"/>
    <w:next w:val="Normal"/>
    <w:link w:val="QuoteChar"/>
    <w:uiPriority w:val="29"/>
    <w:qFormat/>
    <w:rsid w:val="0043685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3685B"/>
    <w:rPr>
      <w:i/>
      <w:iCs/>
      <w:color w:val="404040" w:themeColor="text1" w:themeTint="BF"/>
    </w:rPr>
  </w:style>
  <w:style w:type="paragraph" w:styleId="IntenseQuote">
    <w:name w:val="Intense Quote"/>
    <w:basedOn w:val="Normal"/>
    <w:next w:val="Normal"/>
    <w:link w:val="IntenseQuoteChar"/>
    <w:uiPriority w:val="30"/>
    <w:qFormat/>
    <w:rsid w:val="0043685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3685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43685B"/>
    <w:rPr>
      <w:i/>
      <w:iCs/>
      <w:color w:val="404040" w:themeColor="text1" w:themeTint="BF"/>
    </w:rPr>
  </w:style>
  <w:style w:type="character" w:styleId="IntenseEmphasis">
    <w:name w:val="Intense Emphasis"/>
    <w:basedOn w:val="DefaultParagraphFont"/>
    <w:uiPriority w:val="21"/>
    <w:qFormat/>
    <w:rsid w:val="0043685B"/>
    <w:rPr>
      <w:b/>
      <w:bCs/>
      <w:i/>
      <w:iCs/>
    </w:rPr>
  </w:style>
  <w:style w:type="character" w:styleId="SubtleReference">
    <w:name w:val="Subtle Reference"/>
    <w:basedOn w:val="DefaultParagraphFont"/>
    <w:uiPriority w:val="31"/>
    <w:qFormat/>
    <w:rsid w:val="0043685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3685B"/>
    <w:rPr>
      <w:b/>
      <w:bCs/>
      <w:smallCaps/>
      <w:spacing w:val="5"/>
      <w:u w:val="single"/>
    </w:rPr>
  </w:style>
  <w:style w:type="character" w:styleId="BookTitle">
    <w:name w:val="Book Title"/>
    <w:basedOn w:val="DefaultParagraphFont"/>
    <w:uiPriority w:val="33"/>
    <w:qFormat/>
    <w:rsid w:val="0043685B"/>
    <w:rPr>
      <w:b/>
      <w:bCs/>
      <w:smallCaps/>
    </w:rPr>
  </w:style>
  <w:style w:type="paragraph" w:styleId="TOCHeading">
    <w:name w:val="TOC Heading"/>
    <w:basedOn w:val="Heading1"/>
    <w:next w:val="Normal"/>
    <w:uiPriority w:val="39"/>
    <w:semiHidden/>
    <w:unhideWhenUsed/>
    <w:qFormat/>
    <w:rsid w:val="0043685B"/>
    <w:pPr>
      <w:outlineLvl w:val="9"/>
    </w:pPr>
  </w:style>
  <w:style w:type="character" w:styleId="FollowedHyperlink">
    <w:name w:val="FollowedHyperlink"/>
    <w:basedOn w:val="DefaultParagraphFont"/>
    <w:uiPriority w:val="99"/>
    <w:semiHidden/>
    <w:unhideWhenUsed/>
    <w:rsid w:val="005C240F"/>
    <w:rPr>
      <w:color w:val="954F72" w:themeColor="followedHyperlink"/>
      <w:u w:val="single"/>
    </w:rPr>
  </w:style>
  <w:style w:type="paragraph" w:styleId="BalloonText">
    <w:name w:val="Balloon Text"/>
    <w:basedOn w:val="Normal"/>
    <w:link w:val="BalloonTextChar"/>
    <w:uiPriority w:val="99"/>
    <w:semiHidden/>
    <w:unhideWhenUsed/>
    <w:rsid w:val="00220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georgetownpoverty.org/issues/democracy/censu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ensuscounts.org/" TargetMode="External"/><Relationship Id="rId17" Type="http://schemas.openxmlformats.org/officeDocument/2006/relationships/hyperlink" Target="mailto:erika.hudson@ndrn.org" TargetMode="External"/><Relationship Id="rId2" Type="http://schemas.openxmlformats.org/officeDocument/2006/relationships/numbering" Target="numbering.xml"/><Relationship Id="rId16" Type="http://schemas.openxmlformats.org/officeDocument/2006/relationships/hyperlink" Target="mailto:jl2435@georgetown.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programs-surveys/decennial-census/2020-census/complete_count.html" TargetMode="External"/><Relationship Id="rId5" Type="http://schemas.openxmlformats.org/officeDocument/2006/relationships/webSettings" Target="webSettings.xml"/><Relationship Id="rId15" Type="http://schemas.openxmlformats.org/officeDocument/2006/relationships/hyperlink" Target="https://thecensusproject.org" TargetMode="External"/><Relationship Id="rId10" Type="http://schemas.openxmlformats.org/officeDocument/2006/relationships/hyperlink" Target="https://www.census.gov/about/census-career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ensus.gov/partners.html" TargetMode="External"/><Relationship Id="rId14" Type="http://schemas.openxmlformats.org/officeDocument/2006/relationships/hyperlink" Target="https://www.ndrn.org/issues/census-2020/"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census.gov/2018censustest/gq" TargetMode="External"/><Relationship Id="rId13" Type="http://schemas.openxmlformats.org/officeDocument/2006/relationships/hyperlink" Target="https://www2.census.gov/programs-surveys/decennial/2020/program-management/planning-docs/2020-oper-plan4.pdf" TargetMode="External"/><Relationship Id="rId18" Type="http://schemas.openxmlformats.org/officeDocument/2006/relationships/hyperlink" Target="https://www.disabilityrightsca.org/post/census-2020-webinar-inclusion-of-people-with-disabilities" TargetMode="External"/><Relationship Id="rId26" Type="http://schemas.openxmlformats.org/officeDocument/2006/relationships/hyperlink" Target="https://acl.gov/sites/default/files/about-acl/2019-01/ILSG-2019.pdf" TargetMode="External"/><Relationship Id="rId39" Type="http://schemas.openxmlformats.org/officeDocument/2006/relationships/hyperlink" Target="https://www.hud.gov/program_offices/housing/mfh/progdesc/disab811" TargetMode="External"/><Relationship Id="rId3" Type="http://schemas.openxmlformats.org/officeDocument/2006/relationships/hyperlink" Target="https://www.census.gov/content/dam/Census/library/factsheets/2019/dec/how-census-invites-everyone.pdf" TargetMode="External"/><Relationship Id="rId21" Type="http://schemas.openxmlformats.org/officeDocument/2006/relationships/hyperlink" Target="https://www.ncbi.nlm.nih.gov/pmc/articles/PMC3490559/" TargetMode="External"/><Relationship Id="rId34" Type="http://schemas.openxmlformats.org/officeDocument/2006/relationships/hyperlink" Target="https://www.hhs.gov/sites/default/files/fy-2020-budget-in-brief.pdf" TargetMode="External"/><Relationship Id="rId7" Type="http://schemas.openxmlformats.org/officeDocument/2006/relationships/hyperlink" Target="https://www2.census.gov/programs-surveys/decennial/2020/program-management/planning-docs/2020-oper-plan4.pdf" TargetMode="External"/><Relationship Id="rId12" Type="http://schemas.openxmlformats.org/officeDocument/2006/relationships/hyperlink" Target="http://www.georgetownpoverty.org/wp-content/uploads/2018/09/GCPI-ESOI-Counting-People-Experiencing-Homelessness-20180904.pdf" TargetMode="External"/><Relationship Id="rId17" Type="http://schemas.openxmlformats.org/officeDocument/2006/relationships/hyperlink" Target="https://www.disabilityrightsca.org/post/census-2020-webinar-inclusion-of-people-with-disabilities" TargetMode="External"/><Relationship Id="rId25" Type="http://schemas.openxmlformats.org/officeDocument/2006/relationships/hyperlink" Target="https://acl.gov/programs/aging-and-disability-networks/state-councils-developmental-disabilities" TargetMode="External"/><Relationship Id="rId33" Type="http://schemas.openxmlformats.org/officeDocument/2006/relationships/hyperlink" Target="http://frac.org/blog/snap-matters-people-disabilities" TargetMode="External"/><Relationship Id="rId38" Type="http://schemas.openxmlformats.org/officeDocument/2006/relationships/hyperlink" Target="https://www.hud.gov/sites/dfiles/CFO/documents/HUD2020BudgetinBrief03072019Final.pdf" TargetMode="External"/><Relationship Id="rId2" Type="http://schemas.openxmlformats.org/officeDocument/2006/relationships/hyperlink" Target="https://www2.census.gov/programs-surveys/decennial/2020/program-management/planning-docs/2020-oper-plan4.pdf" TargetMode="External"/><Relationship Id="rId16" Type="http://schemas.openxmlformats.org/officeDocument/2006/relationships/hyperlink" Target="https://www2.census.gov/programs-surveys/decennial/2020/program-management/planning-docs/2020-oper-plan4.pdf" TargetMode="External"/><Relationship Id="rId20" Type="http://schemas.openxmlformats.org/officeDocument/2006/relationships/hyperlink" Target="https://www.usich.gov/resources/uploads/asset_library/Homelessness-in-America-Focus-on-chronic.pdf" TargetMode="External"/><Relationship Id="rId29" Type="http://schemas.openxmlformats.org/officeDocument/2006/relationships/hyperlink" Target="https://www.appropriations.senate.gov/news/fy2019-labor-hhs-and-education-appropriations-bill-gains-subcommittee-approval" TargetMode="External"/><Relationship Id="rId1" Type="http://schemas.openxmlformats.org/officeDocument/2006/relationships/hyperlink" Target="https://www.cdc.gov/ncbddd/disabilityandhealth/infographic-disability-impacts-all.html" TargetMode="External"/><Relationship Id="rId6" Type="http://schemas.openxmlformats.org/officeDocument/2006/relationships/hyperlink" Target="https://www2.census.gov/programs-surveys/decennial/2020/program-management/planning-docs/2020-oper-plan4.pdf" TargetMode="External"/><Relationship Id="rId11" Type="http://schemas.openxmlformats.org/officeDocument/2006/relationships/hyperlink" Target="https://www2.census.gov/programs-surveys/decennial/2020/program-management/planning-docs/2020-oper-plan4.pdf" TargetMode="External"/><Relationship Id="rId24" Type="http://schemas.openxmlformats.org/officeDocument/2006/relationships/hyperlink" Target="https://acl.gov/sites/default/files/about-acl/2019-01/SCDD-2019.pdf" TargetMode="External"/><Relationship Id="rId32" Type="http://schemas.openxmlformats.org/officeDocument/2006/relationships/hyperlink" Target="https://www.fns.usda.gov/snap/supplemental-nutrition-assistance-program" TargetMode="External"/><Relationship Id="rId37" Type="http://schemas.openxmlformats.org/officeDocument/2006/relationships/hyperlink" Target="https://www.kff.org/medicaid/issue-brief/10-things-to-know-about-medicaid-setting-the-facts-straight/" TargetMode="External"/><Relationship Id="rId40" Type="http://schemas.openxmlformats.org/officeDocument/2006/relationships/hyperlink" Target="https://www2.ed.gov/about/overview/budget/budget20/summary/20summary.pdf" TargetMode="External"/><Relationship Id="rId5" Type="http://schemas.openxmlformats.org/officeDocument/2006/relationships/hyperlink" Target="https://www.section508.gov/manage/laws-and-policies" TargetMode="External"/><Relationship Id="rId15" Type="http://schemas.openxmlformats.org/officeDocument/2006/relationships/hyperlink" Target="https://www.census.gov/library/stories/2019/03/one-year-out-census-bureau-on-track-for-2020-census.html" TargetMode="External"/><Relationship Id="rId23" Type="http://schemas.openxmlformats.org/officeDocument/2006/relationships/hyperlink" Target="https://www.ndrn.org/issues/funding/" TargetMode="External"/><Relationship Id="rId28" Type="http://schemas.openxmlformats.org/officeDocument/2006/relationships/hyperlink" Target="https://www.law.cornell.edu/uscode/text/20/6301" TargetMode="External"/><Relationship Id="rId36" Type="http://schemas.openxmlformats.org/officeDocument/2006/relationships/hyperlink" Target="https://www.cbpp.org/research/health/medicaid-works-for-people-with-disabilities" TargetMode="External"/><Relationship Id="rId10" Type="http://schemas.openxmlformats.org/officeDocument/2006/relationships/hyperlink" Target="https://www.census.gov/programs-surveys/decennial-census/2018-census-test/test/providence/group-quarters/erdt.html" TargetMode="External"/><Relationship Id="rId19" Type="http://schemas.openxmlformats.org/officeDocument/2006/relationships/hyperlink" Target="https://www.cdc.gov/ncbddd/disabilityandhealth/materials/infographic-disabilities-ethnicity-race.html" TargetMode="External"/><Relationship Id="rId31" Type="http://schemas.openxmlformats.org/officeDocument/2006/relationships/hyperlink" Target="https://www.obpa.usda.gov/budsum/fy2020budsum.pdf" TargetMode="External"/><Relationship Id="rId4" Type="http://schemas.openxmlformats.org/officeDocument/2006/relationships/hyperlink" Target="https://www2.census.gov/programs-surveys/decennial/2020/program-management/planning-docs/2020-oper-plan4.pdf" TargetMode="External"/><Relationship Id="rId9" Type="http://schemas.openxmlformats.org/officeDocument/2006/relationships/hyperlink" Target="https://www2.census.gov/programs-surveys/decennial/2020/program-management/planning-docs/2020-oper-plan4.pdf" TargetMode="External"/><Relationship Id="rId14" Type="http://schemas.openxmlformats.org/officeDocument/2006/relationships/hyperlink" Target="https://www.pewresearch.org/fact-tank/2017/04/07/disabled-americans-are-less-likely-to-use-technology/" TargetMode="External"/><Relationship Id="rId22" Type="http://schemas.openxmlformats.org/officeDocument/2006/relationships/hyperlink" Target="https://www.census.gov/library/working-papers/2017/decennial/census-data-federal-funds.html" TargetMode="External"/><Relationship Id="rId27" Type="http://schemas.openxmlformats.org/officeDocument/2006/relationships/hyperlink" Target="https://www.appropriations.senate.gov/news/fy2019" TargetMode="External"/><Relationship Id="rId30" Type="http://schemas.openxmlformats.org/officeDocument/2006/relationships/hyperlink" Target="https://www2.ed.gov/about/overview/budget/budget20/summary/20summary.pdf" TargetMode="External"/><Relationship Id="rId35" Type="http://schemas.openxmlformats.org/officeDocument/2006/relationships/hyperlink" Target="https://www.kff.org/medicaid/state-indicator/distribution-of-medicaid-enrollees-by-enrollment-group/?dataView=0&amp;currentTimeframe=0&amp;selectedDistributions=disabled&amp;sortModel=%7B%22colId%22:%22Location%22,%22sort%22:%22asc%22%7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jl2435\Box\HTC.ACS\HTC%20Data%20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88867875349299"/>
          <c:y val="2.5062540499145837E-2"/>
          <c:w val="0.87409788268383315"/>
          <c:h val="0.6946468474483084"/>
        </c:manualLayout>
      </c:layout>
      <c:barChart>
        <c:barDir val="col"/>
        <c:grouping val="clustered"/>
        <c:varyColors val="0"/>
        <c:ser>
          <c:idx val="0"/>
          <c:order val="0"/>
          <c:tx>
            <c:strRef>
              <c:f>'Data Viz'!$P$2</c:f>
              <c:strCache>
                <c:ptCount val="1"/>
                <c:pt idx="0">
                  <c:v>Percent of People with Disabilities Living in HTC Tracts</c:v>
                </c:pt>
              </c:strCache>
            </c:strRef>
          </c:tx>
          <c:spPr>
            <a:solidFill>
              <a:srgbClr val="9E0014"/>
            </a:solidFill>
            <a:ln>
              <a:noFill/>
            </a:ln>
            <a:effectLst/>
          </c:spPr>
          <c:invertIfNegative val="0"/>
          <c:dLbls>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A8-4484-9088-A2A512A4307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Viz'!$O$3:$O$9</c:f>
              <c:strCache>
                <c:ptCount val="6"/>
                <c:pt idx="1">
                  <c:v>New Mexico</c:v>
                </c:pt>
                <c:pt idx="2">
                  <c:v>Alaska</c:v>
                </c:pt>
                <c:pt idx="3">
                  <c:v>Oklahoma</c:v>
                </c:pt>
                <c:pt idx="4">
                  <c:v>Louisiana</c:v>
                </c:pt>
                <c:pt idx="5">
                  <c:v>New York</c:v>
                </c:pt>
              </c:strCache>
            </c:strRef>
          </c:cat>
          <c:val>
            <c:numRef>
              <c:f>'Data Viz'!$P$3:$P$9</c:f>
              <c:numCache>
                <c:formatCode>0.0%</c:formatCode>
                <c:ptCount val="7"/>
                <c:pt idx="1">
                  <c:v>0.51976125600103806</c:v>
                </c:pt>
                <c:pt idx="2">
                  <c:v>0.47048315549694281</c:v>
                </c:pt>
                <c:pt idx="3">
                  <c:v>0.38823440119325758</c:v>
                </c:pt>
                <c:pt idx="4">
                  <c:v>0.36823762934840581</c:v>
                </c:pt>
                <c:pt idx="5">
                  <c:v>0.3551315035563235</c:v>
                </c:pt>
              </c:numCache>
            </c:numRef>
          </c:val>
          <c:extLst>
            <c:ext xmlns:c16="http://schemas.microsoft.com/office/drawing/2014/chart" uri="{C3380CC4-5D6E-409C-BE32-E72D297353CC}">
              <c16:uniqueId val="{00000001-42A8-4484-9088-A2A512A43072}"/>
            </c:ext>
          </c:extLst>
        </c:ser>
        <c:dLbls>
          <c:showLegendKey val="0"/>
          <c:showVal val="0"/>
          <c:showCatName val="0"/>
          <c:showSerName val="0"/>
          <c:showPercent val="0"/>
          <c:showBubbleSize val="0"/>
        </c:dLbls>
        <c:gapWidth val="219"/>
        <c:overlap val="-27"/>
        <c:axId val="275899216"/>
        <c:axId val="275900000"/>
      </c:barChart>
      <c:lineChart>
        <c:grouping val="standard"/>
        <c:varyColors val="0"/>
        <c:ser>
          <c:idx val="1"/>
          <c:order val="1"/>
          <c:tx>
            <c:strRef>
              <c:f>'Data Viz'!$Q$2</c:f>
              <c:strCache>
                <c:ptCount val="1"/>
                <c:pt idx="0">
                  <c:v>U.S. National Average</c:v>
                </c:pt>
              </c:strCache>
            </c:strRef>
          </c:tx>
          <c:spPr>
            <a:ln w="28575" cap="rnd">
              <a:solidFill>
                <a:srgbClr val="091F4E"/>
              </a:solidFill>
              <a:prstDash val="sysDash"/>
              <a:round/>
            </a:ln>
            <a:effectLst/>
          </c:spPr>
          <c:marker>
            <c:symbol val="none"/>
          </c:marker>
          <c:dPt>
            <c:idx val="0"/>
            <c:bubble3D val="0"/>
            <c:spPr>
              <a:ln w="0" cap="rnd">
                <a:solidFill>
                  <a:srgbClr val="091F4E"/>
                </a:solidFill>
                <a:prstDash val="sysDash"/>
                <a:round/>
              </a:ln>
              <a:effectLst/>
            </c:spPr>
            <c:extLst>
              <c:ext xmlns:c16="http://schemas.microsoft.com/office/drawing/2014/chart" uri="{C3380CC4-5D6E-409C-BE32-E72D297353CC}">
                <c16:uniqueId val="{00000003-42A8-4484-9088-A2A512A43072}"/>
              </c:ext>
            </c:extLst>
          </c:dPt>
          <c:dLbls>
            <c:dLbl>
              <c:idx val="0"/>
              <c:layout>
                <c:manualLayout>
                  <c:x val="-4.9768193532770427E-2"/>
                  <c:y val="-4.378031299703506E-2"/>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n-lt"/>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832011504891001"/>
                      <c:h val="6.0973943095018357E-2"/>
                    </c:manualLayout>
                  </c15:layout>
                </c:ext>
                <c:ext xmlns:c16="http://schemas.microsoft.com/office/drawing/2014/chart" uri="{C3380CC4-5D6E-409C-BE32-E72D297353CC}">
                  <c16:uniqueId val="{00000003-42A8-4484-9088-A2A512A43072}"/>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'Data Viz'!$O$3:$O$9</c:f>
              <c:strCache>
                <c:ptCount val="6"/>
                <c:pt idx="1">
                  <c:v>New Mexico</c:v>
                </c:pt>
                <c:pt idx="2">
                  <c:v>Alaska</c:v>
                </c:pt>
                <c:pt idx="3">
                  <c:v>Oklahoma</c:v>
                </c:pt>
                <c:pt idx="4">
                  <c:v>Louisiana</c:v>
                </c:pt>
                <c:pt idx="5">
                  <c:v>New York</c:v>
                </c:pt>
              </c:strCache>
            </c:strRef>
          </c:cat>
          <c:val>
            <c:numRef>
              <c:f>'Data Viz'!$Q$3:$Q$9</c:f>
              <c:numCache>
                <c:formatCode>0.0%</c:formatCode>
                <c:ptCount val="7"/>
                <c:pt idx="0">
                  <c:v>0.1878799154062861</c:v>
                </c:pt>
                <c:pt idx="1">
                  <c:v>0.1878799154062861</c:v>
                </c:pt>
                <c:pt idx="2">
                  <c:v>0.1878799154062861</c:v>
                </c:pt>
                <c:pt idx="3">
                  <c:v>0.1878799154062861</c:v>
                </c:pt>
                <c:pt idx="4">
                  <c:v>0.1878799154062861</c:v>
                </c:pt>
                <c:pt idx="5">
                  <c:v>0.1878799154062861</c:v>
                </c:pt>
                <c:pt idx="6">
                  <c:v>0.1878799154062861</c:v>
                </c:pt>
              </c:numCache>
            </c:numRef>
          </c:val>
          <c:smooth val="0"/>
          <c:extLst>
            <c:ext xmlns:c16="http://schemas.microsoft.com/office/drawing/2014/chart" uri="{C3380CC4-5D6E-409C-BE32-E72D297353CC}">
              <c16:uniqueId val="{00000004-42A8-4484-9088-A2A512A43072}"/>
            </c:ext>
          </c:extLst>
        </c:ser>
        <c:dLbls>
          <c:showLegendKey val="0"/>
          <c:showVal val="0"/>
          <c:showCatName val="0"/>
          <c:showSerName val="0"/>
          <c:showPercent val="0"/>
          <c:showBubbleSize val="0"/>
        </c:dLbls>
        <c:marker val="1"/>
        <c:smooth val="0"/>
        <c:axId val="275899216"/>
        <c:axId val="275900000"/>
      </c:lineChart>
      <c:catAx>
        <c:axId val="27589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75900000"/>
        <c:crosses val="autoZero"/>
        <c:auto val="1"/>
        <c:lblAlgn val="ctr"/>
        <c:lblOffset val="100"/>
        <c:noMultiLvlLbl val="0"/>
      </c:catAx>
      <c:valAx>
        <c:axId val="27590000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Arial" panose="020B0604020202020204" pitchFamily="34" charset="0"/>
              </a:defRPr>
            </a:pPr>
            <a:endParaRPr lang="en-US"/>
          </a:p>
        </c:txPr>
        <c:crossAx val="275899216"/>
        <c:crosses val="autoZero"/>
        <c:crossBetween val="between"/>
      </c:valAx>
      <c:spPr>
        <a:ln>
          <a:noFill/>
        </a:ln>
      </c:spPr>
    </c:plotArea>
    <c:legend>
      <c:legendPos val="b"/>
      <c:layout>
        <c:manualLayout>
          <c:xMode val="edge"/>
          <c:yMode val="edge"/>
          <c:x val="3.4202844897552362E-2"/>
          <c:y val="0.82369784200915031"/>
          <c:w val="0.93882729848642332"/>
          <c:h val="0.1463769709584306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Arial" panose="020B0604020202020204" pitchFamily="34" charset="0"/>
            </a:defRPr>
          </a:pPr>
          <a:endParaRPr lang="en-US"/>
        </a:p>
      </c:txPr>
    </c:legend>
    <c:plotVisOnly val="1"/>
    <c:dispBlanksAs val="gap"/>
    <c:showDLblsOverMax val="0"/>
  </c:chart>
  <c:spPr>
    <a:ln>
      <a:noFill/>
    </a:ln>
  </c:spPr>
  <c:txPr>
    <a:bodyPr/>
    <a:lstStyle/>
    <a:p>
      <a:pPr algn="just">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50407-C2F3-472C-B9FE-764C6CA3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2598</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Hudson</dc:creator>
  <cp:keywords/>
  <dc:description/>
  <cp:lastModifiedBy>Tina Pinedo</cp:lastModifiedBy>
  <cp:revision>6</cp:revision>
  <cp:lastPrinted>2019-07-03T16:06:00Z</cp:lastPrinted>
  <dcterms:created xsi:type="dcterms:W3CDTF">2019-07-08T15:54:00Z</dcterms:created>
  <dcterms:modified xsi:type="dcterms:W3CDTF">2019-07-08T16:13:00Z</dcterms:modified>
</cp:coreProperties>
</file>